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numPr>
          <w:ilvl w:val="0"/>
          <w:numId w:val="0"/>
        </w:numPr>
        <w:spacing w:lineRule="auto" w:line="240" w:before="0" w:after="0"/>
        <w:jc w:val="center"/>
        <w:outlineLvl w:val="5"/>
        <w:rPr>
          <w:rFonts w:ascii="Times New Roman" w:hAnsi="Times New Roman" w:eastAsia="Times New Roman" w:cs="Times New Roman"/>
          <w:b/>
          <w:caps/>
          <w:sz w:val="28"/>
          <w:szCs w:val="28"/>
          <w:lang w:eastAsia="ru-RU"/>
        </w:rPr>
      </w:pPr>
      <w:r>
        <w:rPr>
          <w:rFonts w:eastAsia="Times New Roman" w:cs="Times New Roman" w:ascii="Times New Roman" w:hAnsi="Times New Roman"/>
          <w:b/>
          <w:sz w:val="28"/>
          <w:szCs w:val="28"/>
          <w:lang w:eastAsia="ru-RU"/>
        </w:rPr>
        <w:t>А</w:t>
      </w:r>
      <w:r>
        <w:rPr>
          <w:rFonts w:eastAsia="Times New Roman" w:cs="Times New Roman" w:ascii="Times New Roman" w:hAnsi="Times New Roman"/>
          <w:b/>
          <w:caps/>
          <w:sz w:val="28"/>
          <w:szCs w:val="28"/>
          <w:lang w:eastAsia="ru-RU"/>
        </w:rPr>
        <w:t>дминистрация</w:t>
      </w:r>
    </w:p>
    <w:p>
      <w:pPr>
        <w:pStyle w:val="Normal"/>
        <w:keepNext w:val="true"/>
        <w:numPr>
          <w:ilvl w:val="0"/>
          <w:numId w:val="0"/>
        </w:numPr>
        <w:spacing w:lineRule="auto" w:line="240" w:before="0" w:after="0"/>
        <w:jc w:val="center"/>
        <w:outlineLvl w:val="5"/>
        <w:rPr>
          <w:rFonts w:ascii="Times New Roman" w:hAnsi="Times New Roman" w:eastAsia="Times New Roman" w:cs="Times New Roman"/>
          <w:b/>
          <w:caps/>
          <w:sz w:val="28"/>
          <w:szCs w:val="28"/>
          <w:lang w:eastAsia="ru-RU"/>
        </w:rPr>
      </w:pPr>
      <w:r>
        <w:rPr>
          <w:rFonts w:eastAsia="Times New Roman" w:cs="Times New Roman" w:ascii="Times New Roman" w:hAnsi="Times New Roman"/>
          <w:b/>
          <w:caps/>
          <w:sz w:val="28"/>
          <w:szCs w:val="28"/>
          <w:lang w:eastAsia="ru-RU"/>
        </w:rPr>
        <w:t>городского поселения ИГРИМ</w:t>
      </w:r>
    </w:p>
    <w:p>
      <w:pPr>
        <w:pStyle w:val="Normal"/>
        <w:spacing w:lineRule="auto" w:line="240" w:before="0" w:after="0"/>
        <w:jc w:val="center"/>
        <w:rPr>
          <w:rFonts w:ascii="Times New Roman" w:hAnsi="Times New Roman" w:eastAsia="Times New Roman" w:cs="Times New Roman"/>
          <w:b/>
          <w:sz w:val="28"/>
          <w:szCs w:val="28"/>
          <w:lang w:eastAsia="ru-RU"/>
        </w:rPr>
      </w:pPr>
      <w:r>
        <w:rPr>
          <w:rFonts w:eastAsia="Times New Roman" w:cs="Times New Roman" w:ascii="Times New Roman" w:hAnsi="Times New Roman"/>
          <w:b/>
          <w:sz w:val="28"/>
          <w:szCs w:val="28"/>
          <w:lang w:eastAsia="ru-RU"/>
        </w:rPr>
        <w:t>Березовского района</w:t>
      </w:r>
    </w:p>
    <w:p>
      <w:pPr>
        <w:pStyle w:val="Normal"/>
        <w:spacing w:lineRule="auto" w:line="240" w:before="0" w:after="0"/>
        <w:jc w:val="center"/>
        <w:rPr>
          <w:rFonts w:ascii="Times New Roman" w:hAnsi="Times New Roman" w:eastAsia="Times New Roman" w:cs="Times New Roman"/>
          <w:b/>
          <w:sz w:val="28"/>
          <w:szCs w:val="28"/>
          <w:lang w:eastAsia="ru-RU"/>
        </w:rPr>
      </w:pPr>
      <w:r>
        <w:rPr>
          <w:rFonts w:eastAsia="Times New Roman" w:cs="Times New Roman" w:ascii="Times New Roman" w:hAnsi="Times New Roman"/>
          <w:b/>
          <w:sz w:val="28"/>
          <w:szCs w:val="28"/>
          <w:lang w:eastAsia="ru-RU"/>
        </w:rPr>
        <w:t>Ханты-Мансийского автономного округа - Югры</w:t>
      </w:r>
    </w:p>
    <w:p>
      <w:pPr>
        <w:pStyle w:val="Normal"/>
        <w:keepNext w:val="true"/>
        <w:numPr>
          <w:ilvl w:val="0"/>
          <w:numId w:val="0"/>
        </w:numPr>
        <w:spacing w:lineRule="auto" w:line="240" w:before="0" w:after="0"/>
        <w:outlineLvl w:val="5"/>
        <w:rPr>
          <w:rFonts w:ascii="Times New Roman" w:hAnsi="Times New Roman" w:eastAsia="Times New Roman" w:cs="Times New Roman"/>
          <w:b/>
          <w:sz w:val="28"/>
          <w:szCs w:val="28"/>
          <w:lang w:eastAsia="ru-RU"/>
        </w:rPr>
      </w:pPr>
      <w:r>
        <w:rPr>
          <w:rFonts w:eastAsia="Times New Roman" w:cs="Times New Roman" w:ascii="Times New Roman" w:hAnsi="Times New Roman"/>
          <w:b/>
          <w:sz w:val="28"/>
          <w:szCs w:val="28"/>
          <w:lang w:eastAsia="ru-RU"/>
        </w:rPr>
      </w:r>
    </w:p>
    <w:p>
      <w:pPr>
        <w:pStyle w:val="Normal"/>
        <w:keepNext w:val="true"/>
        <w:numPr>
          <w:ilvl w:val="0"/>
          <w:numId w:val="0"/>
        </w:numPr>
        <w:spacing w:lineRule="auto" w:line="240" w:before="0" w:after="0"/>
        <w:jc w:val="center"/>
        <w:outlineLvl w:val="5"/>
        <w:rPr>
          <w:rFonts w:ascii="Times New Roman" w:hAnsi="Times New Roman" w:eastAsia="Times New Roman" w:cs="Times New Roman"/>
          <w:b/>
          <w:caps/>
          <w:sz w:val="28"/>
          <w:szCs w:val="28"/>
          <w:lang w:eastAsia="ru-RU"/>
        </w:rPr>
      </w:pPr>
      <w:r>
        <w:rPr>
          <w:rFonts w:eastAsia="Times New Roman" w:cs="Times New Roman" w:ascii="Times New Roman" w:hAnsi="Times New Roman"/>
          <w:b/>
          <w:caps/>
          <w:sz w:val="28"/>
          <w:szCs w:val="28"/>
          <w:lang w:eastAsia="ru-RU"/>
        </w:rPr>
        <w:t>Постановление</w:t>
      </w:r>
    </w:p>
    <w:p>
      <w:pPr>
        <w:pStyle w:val="Normal"/>
        <w:spacing w:lineRule="auto" w:line="240" w:before="0" w:after="0"/>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от «31» июля 2026 года</w:t>
        <w:tab/>
        <w:tab/>
        <w:tab/>
        <w:tab/>
        <w:tab/>
        <w:tab/>
        <w:tab/>
        <w:tab/>
        <w:tab/>
        <w:t>№ 113</w:t>
      </w:r>
    </w:p>
    <w:p>
      <w:pPr>
        <w:pStyle w:val="Normal"/>
        <w:spacing w:lineRule="auto" w:line="240" w:before="0" w:after="0"/>
        <w:rPr>
          <w:rFonts w:ascii="Times New Roman" w:hAnsi="Times New Roman" w:eastAsia="Calibri" w:cs="Times New Roman"/>
          <w:b/>
          <w:bCs/>
          <w:sz w:val="26"/>
          <w:szCs w:val="26"/>
        </w:rPr>
      </w:pPr>
      <w:r>
        <w:rPr>
          <w:rFonts w:eastAsia="Calibri" w:cs="Times New Roman" w:ascii="Times New Roman" w:hAnsi="Times New Roman"/>
          <w:b/>
          <w:bCs/>
          <w:sz w:val="26"/>
          <w:szCs w:val="26"/>
        </w:rPr>
      </w:r>
    </w:p>
    <w:p>
      <w:pPr>
        <w:pStyle w:val="Normal"/>
        <w:spacing w:lineRule="auto" w:line="240" w:before="0" w:after="0"/>
        <w:ind w:end="396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 внесении изменений в Постановление администрации городского поселения Игрим № 121 от 13.11.2025 «О муниципальной программе «Формирование современной городской среды городского поселения Игрим»»</w:t>
      </w:r>
    </w:p>
    <w:p>
      <w:pPr>
        <w:pStyle w:val="Normal"/>
        <w:spacing w:lineRule="auto" w:line="240" w:before="0" w:after="0"/>
        <w:ind w:end="396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Title"/>
        <w:tabs>
          <w:tab w:val="clear" w:pos="708"/>
          <w:tab w:val="left" w:pos="570" w:leader="none"/>
        </w:tabs>
        <w:ind w:hanging="0" w:end="-1"/>
        <w:jc w:val="both"/>
        <w:rPr>
          <w:rFonts w:ascii="Times New Roman" w:hAnsi="Times New Roman" w:cs="Times New Roman"/>
          <w:b w:val="false"/>
          <w:sz w:val="28"/>
          <w:szCs w:val="28"/>
        </w:rPr>
      </w:pPr>
      <w:r>
        <w:rPr>
          <w:rFonts w:cs="Times New Roman" w:ascii="Times New Roman" w:hAnsi="Times New Roman"/>
          <w:b w:val="false"/>
          <w:sz w:val="28"/>
          <w:szCs w:val="28"/>
          <w:lang w:eastAsia="x-none"/>
        </w:rPr>
        <w:tab/>
        <w:t>В соответствии</w:t>
      </w:r>
      <w:r>
        <w:rPr>
          <w:rFonts w:ascii="Times New Roman" w:hAnsi="Times New Roman"/>
          <w:sz w:val="28"/>
          <w:szCs w:val="28"/>
        </w:rPr>
        <w:t xml:space="preserve"> </w:t>
      </w:r>
      <w:r>
        <w:rPr>
          <w:rFonts w:ascii="Times New Roman" w:hAnsi="Times New Roman"/>
          <w:b w:val="false"/>
          <w:sz w:val="28"/>
          <w:szCs w:val="28"/>
        </w:rPr>
        <w:t>со статьей 179 Бюджетного кодекса Российской Федерации</w:t>
      </w:r>
      <w:r>
        <w:rPr>
          <w:rFonts w:cs="Times New Roman" w:ascii="Times New Roman" w:hAnsi="Times New Roman"/>
          <w:b w:val="false"/>
          <w:sz w:val="28"/>
          <w:szCs w:val="28"/>
          <w:lang w:eastAsia="x-none"/>
        </w:rPr>
        <w:t>, Решением Совета депутатов городского поселения Игрим № 210 от 25.12.2025 «О бюджете городского поселения Игрим на 2026 и на плановый период 2027 и 2028 годов»</w:t>
      </w:r>
      <w:r>
        <w:rPr>
          <w:rFonts w:cs="Times New Roman" w:ascii="Times New Roman" w:hAnsi="Times New Roman"/>
          <w:b w:val="false"/>
          <w:sz w:val="28"/>
          <w:szCs w:val="28"/>
        </w:rPr>
        <w:t xml:space="preserve"> администрация городского поселения Игрим</w:t>
      </w:r>
    </w:p>
    <w:p>
      <w:pPr>
        <w:pStyle w:val="Title"/>
        <w:tabs>
          <w:tab w:val="clear" w:pos="708"/>
          <w:tab w:val="left" w:pos="4820" w:leader="none"/>
        </w:tabs>
        <w:ind w:hanging="0" w:end="-1"/>
        <w:jc w:val="both"/>
        <w:rPr>
          <w:rFonts w:ascii="Times New Roman" w:hAnsi="Times New Roman" w:cs="Times New Roman"/>
          <w:b w:val="false"/>
          <w:sz w:val="28"/>
          <w:szCs w:val="28"/>
        </w:rPr>
      </w:pPr>
      <w:r>
        <w:rPr>
          <w:rFonts w:cs="Times New Roman" w:ascii="Times New Roman" w:hAnsi="Times New Roman"/>
          <w:b w:val="false"/>
          <w:sz w:val="28"/>
          <w:szCs w:val="28"/>
        </w:rPr>
      </w:r>
    </w:p>
    <w:p>
      <w:pPr>
        <w:pStyle w:val="Normal"/>
        <w:spacing w:lineRule="auto" w:line="259" w:before="0" w:after="160"/>
        <w:jc w:val="center"/>
        <w:rPr>
          <w:rFonts w:ascii="Times New Roman" w:hAnsi="Times New Roman" w:cs="Times New Roman"/>
          <w:b/>
          <w:color w:val="000000"/>
          <w:sz w:val="28"/>
          <w:szCs w:val="28"/>
          <w:shd w:fill="FFFFFF" w:val="clear"/>
        </w:rPr>
      </w:pPr>
      <w:r>
        <w:rPr>
          <w:rFonts w:cs="Times New Roman" w:ascii="Times New Roman" w:hAnsi="Times New Roman"/>
          <w:b/>
          <w:color w:val="000000"/>
          <w:sz w:val="28"/>
          <w:szCs w:val="28"/>
          <w:shd w:fill="FFFFFF" w:val="clear"/>
        </w:rPr>
        <w:t>ПОСТАНОВЛЯЕТ:</w:t>
      </w:r>
    </w:p>
    <w:p>
      <w:pPr>
        <w:pStyle w:val="NoSpacing"/>
        <w:ind w:firstLine="567"/>
        <w:jc w:val="both"/>
        <w:rPr>
          <w:rFonts w:ascii="Times New Roman" w:hAnsi="Times New Roman" w:cs="Times New Roman"/>
          <w:sz w:val="28"/>
          <w:szCs w:val="28"/>
        </w:rPr>
      </w:pPr>
      <w:r>
        <w:rPr>
          <w:rFonts w:cs="Times New Roman" w:ascii="Times New Roman" w:hAnsi="Times New Roman"/>
          <w:sz w:val="28"/>
          <w:szCs w:val="28"/>
        </w:rPr>
        <w:t>1. Внести в приложение 1 к постановлению администрации городского поселения Игрим от 13.11.2025 № 121 «О муниципальной программе «Формирование современной городской среды городского поселения Игрим» (далее муниципальная программа) следующие изменения:</w:t>
      </w:r>
    </w:p>
    <w:p>
      <w:pPr>
        <w:pStyle w:val="NoSpacing"/>
        <w:ind w:firstLine="567"/>
        <w:jc w:val="both"/>
        <w:rPr>
          <w:rFonts w:ascii="Times New Roman" w:hAnsi="Times New Roman" w:cs="Times New Roman"/>
          <w:sz w:val="28"/>
          <w:szCs w:val="28"/>
        </w:rPr>
      </w:pPr>
      <w:r>
        <w:rPr>
          <w:rFonts w:cs="Times New Roman" w:ascii="Times New Roman" w:hAnsi="Times New Roman"/>
          <w:sz w:val="28"/>
          <w:szCs w:val="28"/>
        </w:rPr>
        <w:t>1.1. В Паспорте муниципальной программы:</w:t>
      </w:r>
    </w:p>
    <w:p>
      <w:pPr>
        <w:pStyle w:val="NoSpacing"/>
        <w:ind w:firstLine="284"/>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1.1.1 Таблицу раздела 4 изложить в редакции согласно приложению № 1 к настоящему постановлению.</w:t>
      </w:r>
    </w:p>
    <w:p>
      <w:pPr>
        <w:pStyle w:val="NoSpacing"/>
        <w:ind w:firstLine="426"/>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1.2 Приложение 1 к муниципальной программе изложить в следующей редакции согласно приложению 2 к настоящему постановлению.</w:t>
      </w:r>
    </w:p>
    <w:p>
      <w:pPr>
        <w:pStyle w:val="NoSpacing"/>
        <w:ind w:firstLine="426"/>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1.3. Дополнить м</w:t>
      </w:r>
      <w:bookmarkStart w:id="0" w:name="_GoBack"/>
      <w:bookmarkEnd w:id="0"/>
      <w:r>
        <w:rPr>
          <w:rFonts w:cs="Times New Roman" w:ascii="Times New Roman" w:hAnsi="Times New Roman"/>
          <w:sz w:val="28"/>
          <w:szCs w:val="28"/>
        </w:rPr>
        <w:t>униципальную программу приложением 3 «Механизм реализации муниципальной программы в соответствии с правилами предоставления и распределения субсидий из бюджета Ханты-Мансийского автономного округа-Югры бюджетам муниципальных образований в целях софинансирования муниципальных программ (подпрограмм) формирования современной городской среды», согласно приложения 3 к настоящему постановлению.</w:t>
      </w:r>
    </w:p>
    <w:p>
      <w:pPr>
        <w:pStyle w:val="NoSpacing"/>
        <w:ind w:firstLine="567"/>
        <w:jc w:val="both"/>
        <w:rPr>
          <w:rFonts w:ascii="Times New Roman" w:hAnsi="Times New Roman" w:cs="Times New Roman"/>
          <w:sz w:val="28"/>
          <w:szCs w:val="28"/>
        </w:rPr>
      </w:pPr>
      <w:r>
        <w:rPr>
          <w:rFonts w:cs="Times New Roman" w:ascii="Times New Roman" w:hAnsi="Times New Roman"/>
          <w:sz w:val="28"/>
          <w:szCs w:val="28"/>
        </w:rPr>
        <w:t>2. Опубликовать настоящее постановление в газете «Официальный вестник органов местного самоуправления городского поселения Игрим» и обеспечить его размещение на официальном сайте органа местного самоуправления в информационно-телекоммуникационной сети «Интернет».</w:t>
      </w:r>
    </w:p>
    <w:p>
      <w:pPr>
        <w:pStyle w:val="NoSpacing"/>
        <w:ind w:firstLine="567"/>
        <w:jc w:val="both"/>
        <w:rPr>
          <w:rFonts w:ascii="Times New Roman" w:hAnsi="Times New Roman" w:cs="Times New Roman"/>
          <w:sz w:val="28"/>
          <w:szCs w:val="28"/>
        </w:rPr>
      </w:pPr>
      <w:r>
        <w:rPr>
          <w:rFonts w:cs="Times New Roman" w:ascii="Times New Roman" w:hAnsi="Times New Roman"/>
          <w:sz w:val="28"/>
          <w:szCs w:val="28"/>
        </w:rPr>
        <w:t>3. Контроль за исполнением настоящего постановления возложить на заместителя главы поселения по муниципальному хозяйству.</w:t>
      </w:r>
    </w:p>
    <w:p>
      <w:pPr>
        <w:pStyle w:val="NoSpacing"/>
        <w:ind w:firstLine="567"/>
        <w:jc w:val="both"/>
        <w:rPr>
          <w:rFonts w:ascii="Times New Roman" w:hAnsi="Times New Roman" w:eastAsia="Times New Roman" w:cs="Times New Roman"/>
          <w:sz w:val="28"/>
          <w:szCs w:val="28"/>
        </w:rPr>
      </w:pPr>
      <w:r>
        <w:rPr>
          <w:rFonts w:cs="Times New Roman" w:ascii="Times New Roman" w:hAnsi="Times New Roman"/>
          <w:sz w:val="28"/>
          <w:szCs w:val="28"/>
        </w:rPr>
        <w:t>4. Настоящее Постановление вступает в силу после его официального опубликования и распространяется на правоотношения, возникшие с 01.01.2026</w:t>
      </w:r>
      <w:r>
        <w:rPr>
          <w:rFonts w:eastAsia="Times New Roman" w:cs="Times New Roman" w:ascii="Times New Roman" w:hAnsi="Times New Roman"/>
          <w:sz w:val="28"/>
          <w:szCs w:val="28"/>
        </w:rPr>
        <w:t>.</w:t>
      </w:r>
    </w:p>
    <w:p>
      <w:pPr>
        <w:pStyle w:val="NoSpacing"/>
        <w:ind w:firstLine="360"/>
        <w:jc w:val="both"/>
        <w:rPr>
          <w:rFonts w:ascii="Times New Roman" w:hAnsi="Times New Roman" w:eastAsia="Times New Roman" w:cs="Times New Roman"/>
          <w:sz w:val="28"/>
          <w:szCs w:val="28"/>
          <w:lang w:eastAsia="x-none"/>
        </w:rPr>
      </w:pPr>
      <w:r>
        <w:rPr>
          <w:rFonts w:eastAsia="Times New Roman" w:cs="Times New Roman" w:ascii="Times New Roman" w:hAnsi="Times New Roman"/>
          <w:sz w:val="28"/>
          <w:szCs w:val="28"/>
          <w:lang w:eastAsia="x-none"/>
        </w:rPr>
      </w:r>
    </w:p>
    <w:p>
      <w:pPr>
        <w:pStyle w:val="NoSpacing"/>
        <w:jc w:val="center"/>
        <w:rPr>
          <w:rFonts w:ascii="Times New Roman" w:hAnsi="Times New Roman" w:eastAsia="Times New Roman" w:cs="Times New Roman"/>
          <w:sz w:val="28"/>
          <w:szCs w:val="28"/>
          <w:lang w:eastAsia="x-none"/>
        </w:rPr>
        <w:sectPr>
          <w:type w:val="nextPage"/>
          <w:pgSz w:w="11906" w:h="16838"/>
          <w:pgMar w:left="1701" w:right="851" w:gutter="0" w:header="0" w:top="1134" w:footer="0" w:bottom="1134"/>
          <w:pgNumType w:fmt="decimal"/>
          <w:formProt w:val="false"/>
          <w:textDirection w:val="lrTb"/>
          <w:docGrid w:type="default" w:linePitch="360" w:charSpace="0"/>
        </w:sectPr>
      </w:pPr>
      <w:r>
        <w:rPr>
          <w:rFonts w:eastAsia="Times New Roman" w:cs="Times New Roman" w:ascii="Times New Roman" w:hAnsi="Times New Roman"/>
          <w:sz w:val="28"/>
          <w:szCs w:val="28"/>
          <w:lang w:eastAsia="x-none"/>
        </w:rPr>
        <w:t>Глава поселения</w:t>
        <w:tab/>
        <w:tab/>
        <w:tab/>
        <w:tab/>
        <w:tab/>
        <w:tab/>
        <w:tab/>
        <w:tab/>
        <w:t>С.А.Храмиков</w:t>
      </w:r>
    </w:p>
    <w:p>
      <w:pPr>
        <w:pStyle w:val="NoSpacing"/>
        <w:jc w:val="end"/>
        <w:rPr>
          <w:rFonts w:ascii="Times New Roman" w:hAnsi="Times New Roman" w:cs="Times New Roman"/>
        </w:rPr>
      </w:pPr>
      <w:r>
        <w:rPr>
          <w:rFonts w:cs="Times New Roman" w:ascii="Times New Roman" w:hAnsi="Times New Roman"/>
        </w:rPr>
        <w:t>Приложение 1</w:t>
      </w:r>
    </w:p>
    <w:p>
      <w:pPr>
        <w:pStyle w:val="NoSpacing"/>
        <w:jc w:val="end"/>
        <w:rPr>
          <w:rFonts w:ascii="Times New Roman" w:hAnsi="Times New Roman" w:cs="Times New Roman"/>
        </w:rPr>
      </w:pPr>
      <w:r>
        <w:rPr>
          <w:rFonts w:cs="Times New Roman" w:ascii="Times New Roman" w:hAnsi="Times New Roman"/>
        </w:rPr>
        <w:t>к постановлению администрации городского поселения Игрим</w:t>
      </w:r>
    </w:p>
    <w:p>
      <w:pPr>
        <w:pStyle w:val="NoSpacing"/>
        <w:jc w:val="end"/>
        <w:rPr>
          <w:rFonts w:ascii="Times New Roman" w:hAnsi="Times New Roman" w:cs="Times New Roman"/>
        </w:rPr>
      </w:pPr>
      <w:r>
        <w:rPr>
          <w:rFonts w:cs="Times New Roman" w:ascii="Times New Roman" w:hAnsi="Times New Roman"/>
        </w:rPr>
        <w:t>от 31.07.2026 № 113</w:t>
      </w:r>
    </w:p>
    <w:p>
      <w:pPr>
        <w:pStyle w:val="NoSpacing"/>
        <w:rPr>
          <w:rFonts w:ascii="Times New Roman" w:hAnsi="Times New Roman" w:cs="Times New Roman"/>
        </w:rPr>
      </w:pPr>
      <w:r>
        <w:rPr>
          <w:rFonts w:cs="Times New Roman" w:ascii="Times New Roman" w:hAnsi="Times New Roman"/>
        </w:rPr>
      </w:r>
    </w:p>
    <w:p>
      <w:pPr>
        <w:pStyle w:val="Normal"/>
        <w:widowControl w:val="false"/>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П А С П О Р Т</w:t>
      </w:r>
    </w:p>
    <w:p>
      <w:pPr>
        <w:pStyle w:val="Normal"/>
        <w:widowControl w:val="false"/>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муниципальной программы городского поселения Игрим «</w:t>
      </w:r>
      <w:r>
        <w:rPr>
          <w:rFonts w:eastAsia="Times New Roman" w:cs="Times New Roman" w:ascii="Times New Roman" w:hAnsi="Times New Roman"/>
          <w:sz w:val="28"/>
          <w:szCs w:val="28"/>
        </w:rPr>
        <w:t>Формирование современной городской среды городского поселения Игрим</w:t>
      </w:r>
      <w:r>
        <w:rPr>
          <w:rFonts w:cs="Times New Roman" w:ascii="Times New Roman" w:hAnsi="Times New Roman"/>
          <w:sz w:val="28"/>
          <w:szCs w:val="28"/>
          <w:shd w:fill="FFFFFF" w:val="clear"/>
        </w:rPr>
        <w:t>»</w:t>
      </w:r>
      <w:r>
        <w:rPr>
          <w:rFonts w:eastAsia="Times New Roman" w:cs="Times New Roman" w:ascii="Times New Roman" w:hAnsi="Times New Roman"/>
          <w:sz w:val="28"/>
          <w:szCs w:val="28"/>
          <w:lang w:eastAsia="x-none"/>
        </w:rPr>
        <w:t xml:space="preserve"> </w:t>
      </w:r>
      <w:r>
        <w:rPr>
          <w:rFonts w:eastAsia="Times New Roman" w:cs="Times New Roman" w:ascii="Times New Roman" w:hAnsi="Times New Roman"/>
          <w:sz w:val="28"/>
          <w:szCs w:val="28"/>
          <w:lang w:eastAsia="ru-RU"/>
        </w:rPr>
        <w:t>(далее также – муниципальная программа)</w:t>
      </w:r>
    </w:p>
    <w:p>
      <w:pPr>
        <w:pStyle w:val="Normal"/>
        <w:widowControl w:val="false"/>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widowControl w:val="false"/>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widowControl w:val="false"/>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4. Финансовое обеспечение муниципальной программы</w:t>
      </w:r>
    </w:p>
    <w:p>
      <w:pPr>
        <w:pStyle w:val="Normal"/>
        <w:widowControl w:val="false"/>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tbl>
      <w:tblPr>
        <w:tblW w:w="5000" w:type="pct"/>
        <w:jc w:val="start"/>
        <w:tblInd w:w="0" w:type="dxa"/>
        <w:tblLayout w:type="fixed"/>
        <w:tblCellMar>
          <w:top w:w="0" w:type="dxa"/>
          <w:start w:w="108" w:type="dxa"/>
          <w:bottom w:w="0" w:type="dxa"/>
          <w:end w:w="108" w:type="dxa"/>
        </w:tblCellMar>
        <w:tblLook w:noHBand="0" w:noVBand="0" w:firstColumn="1" w:lastRow="1" w:lastColumn="1" w:firstRow="1" w:val="01e0"/>
      </w:tblPr>
      <w:tblGrid>
        <w:gridCol w:w="3262"/>
        <w:gridCol w:w="707"/>
        <w:gridCol w:w="826"/>
        <w:gridCol w:w="706"/>
        <w:gridCol w:w="729"/>
        <w:gridCol w:w="773"/>
        <w:gridCol w:w="745"/>
        <w:gridCol w:w="780"/>
        <w:gridCol w:w="826"/>
      </w:tblGrid>
      <w:tr>
        <w:trPr>
          <w:trHeight w:val="64" w:hRule="atLeast"/>
          <w:cantSplit/>
        </w:trPr>
        <w:tc>
          <w:tcPr>
            <w:tcW w:w="3262" w:type="dxa"/>
            <w:vMerge w:val="restart"/>
            <w:tcBorders>
              <w:top w:val="single" w:sz="4" w:space="0" w:color="000000"/>
              <w:start w:val="single" w:sz="4" w:space="0" w:color="000000"/>
              <w:bottom w:val="single" w:sz="4" w:space="0" w:color="000000"/>
            </w:tcBorders>
            <w:vAlign w:val="center"/>
          </w:tcPr>
          <w:p>
            <w:pPr>
              <w:pStyle w:val="Normal"/>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Наименование государственной программы, структурного элемента, источник финансового обеспечения</w:t>
            </w:r>
          </w:p>
        </w:tc>
        <w:tc>
          <w:tcPr>
            <w:tcW w:w="6092"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Объем финансового обеспечения по годам, тыс. рублей</w:t>
            </w:r>
          </w:p>
        </w:tc>
      </w:tr>
      <w:tr>
        <w:trPr>
          <w:trHeight w:val="123" w:hRule="atLeast"/>
          <w:cantSplit/>
        </w:trPr>
        <w:tc>
          <w:tcPr>
            <w:tcW w:w="3262" w:type="dxa"/>
            <w:vMerge w:val="continue"/>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2025</w:t>
            </w:r>
          </w:p>
        </w:tc>
        <w:tc>
          <w:tcPr>
            <w:tcW w:w="8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2026</w:t>
            </w:r>
          </w:p>
        </w:tc>
        <w:tc>
          <w:tcPr>
            <w:tcW w:w="7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2027</w:t>
            </w:r>
          </w:p>
        </w:tc>
        <w:tc>
          <w:tcPr>
            <w:tcW w:w="7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2028</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2029</w:t>
            </w:r>
          </w:p>
        </w:tc>
        <w:tc>
          <w:tcPr>
            <w:tcW w:w="74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2030</w:t>
            </w:r>
          </w:p>
        </w:tc>
        <w:tc>
          <w:tcPr>
            <w:tcW w:w="78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2031</w:t>
            </w:r>
          </w:p>
        </w:tc>
        <w:tc>
          <w:tcPr>
            <w:tcW w:w="8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Всего</w:t>
            </w:r>
          </w:p>
        </w:tc>
      </w:tr>
      <w:tr>
        <w:trPr>
          <w:cantSplit/>
        </w:trPr>
        <w:tc>
          <w:tcPr>
            <w:tcW w:w="3262"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1</w:t>
            </w:r>
          </w:p>
        </w:tc>
        <w:tc>
          <w:tcPr>
            <w:tcW w:w="7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2</w:t>
            </w:r>
          </w:p>
        </w:tc>
        <w:tc>
          <w:tcPr>
            <w:tcW w:w="8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3</w:t>
            </w:r>
          </w:p>
        </w:tc>
        <w:tc>
          <w:tcPr>
            <w:tcW w:w="7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4</w:t>
            </w:r>
          </w:p>
        </w:tc>
        <w:tc>
          <w:tcPr>
            <w:tcW w:w="7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5</w:t>
            </w:r>
          </w:p>
        </w:tc>
        <w:tc>
          <w:tcPr>
            <w:tcW w:w="7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6</w:t>
            </w:r>
          </w:p>
        </w:tc>
        <w:tc>
          <w:tcPr>
            <w:tcW w:w="74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7</w:t>
            </w:r>
          </w:p>
        </w:tc>
        <w:tc>
          <w:tcPr>
            <w:tcW w:w="78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8</w:t>
            </w:r>
          </w:p>
        </w:tc>
        <w:tc>
          <w:tcPr>
            <w:tcW w:w="82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9</w:t>
            </w:r>
          </w:p>
        </w:tc>
      </w:tr>
      <w:tr>
        <w:trPr>
          <w:cantSplit/>
        </w:trPr>
        <w:tc>
          <w:tcPr>
            <w:tcW w:w="3262" w:type="dxa"/>
            <w:tcBorders>
              <w:top w:val="single" w:sz="4" w:space="0" w:color="000000"/>
              <w:star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sz w:val="18"/>
                <w:szCs w:val="18"/>
                <w:lang w:eastAsia="ru-RU"/>
              </w:rPr>
            </w:pPr>
            <w:r>
              <w:rPr>
                <w:rFonts w:eastAsia="Times New Roman" w:cs="Times New Roman" w:ascii="Times New Roman" w:hAnsi="Times New Roman"/>
                <w:b/>
                <w:sz w:val="18"/>
                <w:szCs w:val="18"/>
                <w:lang w:eastAsia="ru-RU"/>
              </w:rPr>
              <w:t>Муниципальная программа (всего), в том числе:</w:t>
            </w:r>
          </w:p>
        </w:tc>
        <w:tc>
          <w:tcPr>
            <w:tcW w:w="70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end"/>
              <w:rPr>
                <w:rFonts w:ascii="Times New Roman" w:hAnsi="Times New Roman" w:eastAsia="Times New Roman" w:cs="Times New Roman"/>
                <w:b/>
                <w:sz w:val="18"/>
                <w:szCs w:val="18"/>
                <w:lang w:eastAsia="ru-RU"/>
              </w:rPr>
            </w:pPr>
            <w:r>
              <w:rPr>
                <w:rFonts w:eastAsia="Times New Roman" w:cs="Times New Roman" w:ascii="Times New Roman" w:hAnsi="Times New Roman"/>
                <w:b/>
                <w:sz w:val="18"/>
                <w:szCs w:val="18"/>
                <w:lang w:eastAsia="ru-RU"/>
              </w:rPr>
              <w:t>0,0</w:t>
            </w:r>
          </w:p>
        </w:tc>
        <w:tc>
          <w:tcPr>
            <w:tcW w:w="8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end"/>
              <w:rPr>
                <w:rFonts w:ascii="Times New Roman" w:hAnsi="Times New Roman" w:eastAsia="Times New Roman" w:cs="Times New Roman"/>
                <w:b/>
                <w:sz w:val="18"/>
                <w:szCs w:val="18"/>
                <w:lang w:eastAsia="ru-RU"/>
              </w:rPr>
            </w:pPr>
            <w:r>
              <w:rPr>
                <w:rFonts w:eastAsia="Times New Roman" w:cs="Times New Roman" w:ascii="Times New Roman" w:hAnsi="Times New Roman"/>
                <w:b/>
                <w:sz w:val="18"/>
                <w:szCs w:val="18"/>
                <w:lang w:eastAsia="ru-RU"/>
              </w:rPr>
              <w:t>16 544,3</w:t>
            </w:r>
          </w:p>
        </w:tc>
        <w:tc>
          <w:tcPr>
            <w:tcW w:w="70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end"/>
              <w:rPr>
                <w:rFonts w:ascii="Times New Roman" w:hAnsi="Times New Roman" w:eastAsia="Times New Roman" w:cs="Times New Roman"/>
                <w:b/>
                <w:sz w:val="18"/>
                <w:szCs w:val="18"/>
                <w:lang w:eastAsia="ru-RU"/>
              </w:rPr>
            </w:pPr>
            <w:r>
              <w:rPr>
                <w:rFonts w:eastAsia="Times New Roman" w:cs="Times New Roman" w:ascii="Times New Roman" w:hAnsi="Times New Roman"/>
                <w:b/>
                <w:sz w:val="18"/>
                <w:szCs w:val="18"/>
                <w:lang w:eastAsia="ru-RU"/>
              </w:rPr>
              <w:t>0,0</w:t>
            </w:r>
          </w:p>
        </w:tc>
        <w:tc>
          <w:tcPr>
            <w:tcW w:w="72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end"/>
              <w:rPr>
                <w:rFonts w:ascii="Times New Roman" w:hAnsi="Times New Roman" w:eastAsia="Times New Roman" w:cs="Times New Roman"/>
                <w:b/>
                <w:sz w:val="18"/>
                <w:szCs w:val="18"/>
                <w:lang w:eastAsia="ru-RU"/>
              </w:rPr>
            </w:pPr>
            <w:r>
              <w:rPr>
                <w:rFonts w:eastAsia="Times New Roman" w:cs="Times New Roman" w:ascii="Times New Roman" w:hAnsi="Times New Roman"/>
                <w:b/>
                <w:sz w:val="18"/>
                <w:szCs w:val="18"/>
                <w:lang w:eastAsia="ru-RU"/>
              </w:rPr>
              <w:t>0,0</w:t>
            </w:r>
          </w:p>
        </w:tc>
        <w:tc>
          <w:tcPr>
            <w:tcW w:w="77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end"/>
              <w:rPr>
                <w:rFonts w:ascii="Times New Roman" w:hAnsi="Times New Roman" w:eastAsia="Times New Roman" w:cs="Times New Roman"/>
                <w:b/>
                <w:sz w:val="18"/>
                <w:szCs w:val="18"/>
                <w:lang w:eastAsia="ru-RU"/>
              </w:rPr>
            </w:pPr>
            <w:r>
              <w:rPr>
                <w:rFonts w:eastAsia="Times New Roman" w:cs="Times New Roman" w:ascii="Times New Roman" w:hAnsi="Times New Roman"/>
                <w:b/>
                <w:sz w:val="18"/>
                <w:szCs w:val="18"/>
                <w:lang w:eastAsia="ru-RU"/>
              </w:rPr>
              <w:t>0,0</w:t>
            </w:r>
          </w:p>
        </w:tc>
        <w:tc>
          <w:tcPr>
            <w:tcW w:w="74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end"/>
              <w:rPr>
                <w:rFonts w:ascii="Times New Roman" w:hAnsi="Times New Roman" w:eastAsia="Times New Roman" w:cs="Times New Roman"/>
                <w:b/>
                <w:sz w:val="18"/>
                <w:szCs w:val="18"/>
                <w:lang w:eastAsia="ru-RU"/>
              </w:rPr>
            </w:pPr>
            <w:r>
              <w:rPr>
                <w:rFonts w:eastAsia="Times New Roman" w:cs="Times New Roman" w:ascii="Times New Roman" w:hAnsi="Times New Roman"/>
                <w:b/>
                <w:sz w:val="18"/>
                <w:szCs w:val="18"/>
                <w:lang w:eastAsia="ru-RU"/>
              </w:rPr>
              <w:t>0,0</w:t>
            </w:r>
          </w:p>
        </w:tc>
        <w:tc>
          <w:tcPr>
            <w:tcW w:w="78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end"/>
              <w:rPr>
                <w:rFonts w:ascii="Times New Roman" w:hAnsi="Times New Roman" w:eastAsia="Times New Roman" w:cs="Times New Roman"/>
                <w:b/>
                <w:sz w:val="18"/>
                <w:szCs w:val="18"/>
                <w:lang w:eastAsia="ru-RU"/>
              </w:rPr>
            </w:pPr>
            <w:r>
              <w:rPr>
                <w:rFonts w:eastAsia="Times New Roman" w:cs="Times New Roman" w:ascii="Times New Roman" w:hAnsi="Times New Roman"/>
                <w:b/>
                <w:sz w:val="18"/>
                <w:szCs w:val="18"/>
                <w:lang w:eastAsia="ru-RU"/>
              </w:rPr>
              <w:t>0,0</w:t>
            </w:r>
          </w:p>
        </w:tc>
        <w:tc>
          <w:tcPr>
            <w:tcW w:w="82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end"/>
              <w:rPr>
                <w:rFonts w:ascii="Times New Roman" w:hAnsi="Times New Roman" w:eastAsia="Times New Roman" w:cs="Times New Roman"/>
                <w:b/>
                <w:sz w:val="18"/>
                <w:szCs w:val="18"/>
                <w:lang w:eastAsia="ru-RU"/>
              </w:rPr>
            </w:pPr>
            <w:r>
              <w:rPr>
                <w:rFonts w:eastAsia="Times New Roman" w:cs="Times New Roman" w:ascii="Times New Roman" w:hAnsi="Times New Roman"/>
                <w:b/>
                <w:sz w:val="18"/>
                <w:szCs w:val="18"/>
                <w:lang w:eastAsia="ru-RU"/>
              </w:rPr>
              <w:t>16 544,3</w:t>
            </w:r>
          </w:p>
        </w:tc>
      </w:tr>
      <w:tr>
        <w:trPr>
          <w:cantSplit/>
        </w:trPr>
        <w:tc>
          <w:tcPr>
            <w:tcW w:w="3262" w:type="dxa"/>
            <w:tcBorders>
              <w:top w:val="single" w:sz="4" w:space="0" w:color="000000"/>
              <w:start w:val="single" w:sz="4" w:space="0" w:color="000000"/>
              <w:bottom w:val="single" w:sz="4" w:space="0" w:color="000000"/>
            </w:tcBorders>
          </w:tcPr>
          <w:p>
            <w:pPr>
              <w:pStyle w:val="Normal"/>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Федеральный бюджет</w:t>
            </w:r>
          </w:p>
        </w:tc>
        <w:tc>
          <w:tcPr>
            <w:tcW w:w="707"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6 387,8</w:t>
            </w:r>
          </w:p>
        </w:tc>
        <w:tc>
          <w:tcPr>
            <w:tcW w:w="70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729"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773"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745"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780"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6 387,8</w:t>
            </w:r>
          </w:p>
        </w:tc>
      </w:tr>
      <w:tr>
        <w:trPr>
          <w:cantSplit/>
        </w:trPr>
        <w:tc>
          <w:tcPr>
            <w:tcW w:w="3262" w:type="dxa"/>
            <w:tcBorders>
              <w:top w:val="single" w:sz="4" w:space="0" w:color="000000"/>
              <w:start w:val="single" w:sz="4" w:space="0" w:color="000000"/>
              <w:bottom w:val="single" w:sz="4" w:space="0" w:color="000000"/>
            </w:tcBorders>
          </w:tcPr>
          <w:p>
            <w:pPr>
              <w:pStyle w:val="Normal"/>
              <w:spacing w:lineRule="auto" w:line="240" w:before="0" w:after="0"/>
              <w:ind w:start="29"/>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Бюджет автономного округа</w:t>
            </w:r>
          </w:p>
        </w:tc>
        <w:tc>
          <w:tcPr>
            <w:tcW w:w="707"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9 991,1</w:t>
            </w:r>
          </w:p>
        </w:tc>
        <w:tc>
          <w:tcPr>
            <w:tcW w:w="70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729"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773"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745"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780"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9 991,1</w:t>
            </w:r>
          </w:p>
        </w:tc>
      </w:tr>
      <w:tr>
        <w:trPr>
          <w:cantSplit/>
        </w:trPr>
        <w:tc>
          <w:tcPr>
            <w:tcW w:w="3262" w:type="dxa"/>
            <w:tcBorders>
              <w:top w:val="single" w:sz="4" w:space="0" w:color="000000"/>
              <w:start w:val="single" w:sz="4" w:space="0" w:color="000000"/>
              <w:bottom w:val="single" w:sz="4" w:space="0" w:color="000000"/>
            </w:tcBorders>
          </w:tcPr>
          <w:p>
            <w:pPr>
              <w:pStyle w:val="Normal"/>
              <w:spacing w:lineRule="auto" w:line="240" w:before="0" w:after="0"/>
              <w:ind w:hanging="29" w:start="29"/>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Бюджет района</w:t>
            </w:r>
          </w:p>
        </w:tc>
        <w:tc>
          <w:tcPr>
            <w:tcW w:w="707"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165,4</w:t>
            </w:r>
          </w:p>
        </w:tc>
        <w:tc>
          <w:tcPr>
            <w:tcW w:w="70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729"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773"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745"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780"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165,4</w:t>
            </w:r>
          </w:p>
        </w:tc>
      </w:tr>
      <w:tr>
        <w:trPr>
          <w:cantSplit/>
        </w:trPr>
        <w:tc>
          <w:tcPr>
            <w:tcW w:w="3262" w:type="dxa"/>
            <w:tcBorders>
              <w:top w:val="single" w:sz="4" w:space="0" w:color="000000"/>
              <w:start w:val="single" w:sz="4" w:space="0" w:color="000000"/>
              <w:bottom w:val="single" w:sz="4" w:space="0" w:color="000000"/>
            </w:tcBorders>
          </w:tcPr>
          <w:p>
            <w:pPr>
              <w:pStyle w:val="Normal"/>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Бюджет городского поселения Игрим</w:t>
            </w:r>
          </w:p>
        </w:tc>
        <w:tc>
          <w:tcPr>
            <w:tcW w:w="707"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70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729"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773"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745"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780"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1196,7</w:t>
            </w:r>
          </w:p>
        </w:tc>
      </w:tr>
      <w:tr>
        <w:trPr>
          <w:cantSplit/>
        </w:trPr>
        <w:tc>
          <w:tcPr>
            <w:tcW w:w="3262" w:type="dxa"/>
            <w:tcBorders>
              <w:top w:val="single" w:sz="4" w:space="0" w:color="000000"/>
              <w:start w:val="single" w:sz="4" w:space="0" w:color="000000"/>
              <w:bottom w:val="single" w:sz="4" w:space="0" w:color="000000"/>
            </w:tcBorders>
          </w:tcPr>
          <w:p>
            <w:pPr>
              <w:pStyle w:val="Normal"/>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Внебюджетные источники</w:t>
            </w:r>
          </w:p>
        </w:tc>
        <w:tc>
          <w:tcPr>
            <w:tcW w:w="707"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0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29"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73"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45"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80"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r>
      <w:tr>
        <w:trPr>
          <w:cantSplit/>
        </w:trPr>
        <w:tc>
          <w:tcPr>
            <w:tcW w:w="3262" w:type="dxa"/>
            <w:tcBorders>
              <w:top w:val="single" w:sz="4" w:space="0" w:color="000000"/>
              <w:start w:val="single" w:sz="4" w:space="0" w:color="000000"/>
              <w:bottom w:val="single" w:sz="4" w:space="0" w:color="000000"/>
            </w:tcBorders>
          </w:tcPr>
          <w:p>
            <w:pPr>
              <w:pStyle w:val="Normal"/>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 xml:space="preserve">Объем налоговых расходов городского поселения Игрим </w:t>
            </w:r>
          </w:p>
        </w:tc>
        <w:tc>
          <w:tcPr>
            <w:tcW w:w="707"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0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29"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73"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45"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80"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r>
      <w:tr>
        <w:trPr>
          <w:cantSplit/>
        </w:trPr>
        <w:tc>
          <w:tcPr>
            <w:tcW w:w="3262" w:type="dxa"/>
            <w:tcBorders>
              <w:top w:val="single" w:sz="4" w:space="0" w:color="000000"/>
              <w:start w:val="single" w:sz="4" w:space="0" w:color="000000"/>
              <w:bottom w:val="single" w:sz="4" w:space="0" w:color="000000"/>
            </w:tcBorders>
          </w:tcPr>
          <w:p>
            <w:pPr>
              <w:pStyle w:val="NoSpacing"/>
              <w:jc w:val="both"/>
              <w:rPr>
                <w:rFonts w:ascii="Times New Roman" w:hAnsi="Times New Roman" w:cs="Times New Roman"/>
              </w:rPr>
            </w:pPr>
            <w:r>
              <w:rPr>
                <w:rFonts w:eastAsia="Times New Roman" w:cs="Times New Roman" w:ascii="Times New Roman" w:hAnsi="Times New Roman"/>
                <w:b/>
                <w:lang w:eastAsia="ru-RU"/>
              </w:rPr>
              <w:t xml:space="preserve">1. </w:t>
            </w:r>
            <w:r>
              <w:rPr>
                <w:rFonts w:cs="Times New Roman" w:ascii="Times New Roman" w:hAnsi="Times New Roman"/>
                <w:sz w:val="20"/>
                <w:szCs w:val="20"/>
              </w:rPr>
              <w:t>Региональный проект</w:t>
            </w:r>
            <w:r>
              <w:rPr>
                <w:rFonts w:cs="Times New Roman" w:ascii="Times New Roman" w:hAnsi="Times New Roman"/>
                <w:sz w:val="20"/>
                <w:szCs w:val="20"/>
                <w:vertAlign w:val="superscript"/>
              </w:rPr>
              <w:t xml:space="preserve"> </w:t>
            </w:r>
            <w:r>
              <w:rPr>
                <w:rFonts w:cs="Times New Roman" w:ascii="Times New Roman" w:hAnsi="Times New Roman"/>
                <w:sz w:val="20"/>
                <w:szCs w:val="20"/>
              </w:rPr>
              <w:t>«Формирование комфортной городской среды»</w:t>
            </w:r>
            <w:r>
              <w:rPr>
                <w:rFonts w:cs="Times New Roman" w:ascii="Times New Roman" w:hAnsi="Times New Roman"/>
              </w:rPr>
              <w:t xml:space="preserve"> </w:t>
            </w:r>
            <w:r>
              <w:rPr>
                <w:rFonts w:eastAsia="Times New Roman" w:cs="Times New Roman" w:ascii="Times New Roman" w:hAnsi="Times New Roman"/>
                <w:b/>
                <w:sz w:val="20"/>
                <w:szCs w:val="20"/>
                <w:lang w:eastAsia="ru-RU"/>
              </w:rPr>
              <w:t>(всего), в том числе</w:t>
            </w:r>
            <w:r>
              <w:rPr>
                <w:rFonts w:eastAsia="Times New Roman" w:cs="Times New Roman" w:ascii="Times New Roman" w:hAnsi="Times New Roman"/>
                <w:b/>
                <w:lang w:eastAsia="ru-RU"/>
              </w:rPr>
              <w:t>:</w:t>
            </w:r>
          </w:p>
        </w:tc>
        <w:tc>
          <w:tcPr>
            <w:tcW w:w="707"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b/>
                <w:sz w:val="18"/>
                <w:szCs w:val="18"/>
                <w:lang w:eastAsia="ru-RU"/>
              </w:rPr>
            </w:pPr>
            <w:r>
              <w:rPr>
                <w:rFonts w:eastAsia="Times New Roman" w:cs="Times New Roman" w:ascii="Times New Roman" w:hAnsi="Times New Roman"/>
                <w:b/>
                <w:sz w:val="18"/>
                <w:szCs w:val="18"/>
                <w:lang w:eastAsia="ru-RU"/>
              </w:rPr>
              <w:t>0,0</w:t>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b/>
                <w:sz w:val="18"/>
                <w:szCs w:val="18"/>
                <w:lang w:eastAsia="ru-RU"/>
              </w:rPr>
            </w:pPr>
            <w:r>
              <w:rPr>
                <w:rFonts w:eastAsia="Times New Roman" w:cs="Times New Roman" w:ascii="Times New Roman" w:hAnsi="Times New Roman"/>
                <w:b/>
                <w:sz w:val="18"/>
                <w:szCs w:val="18"/>
                <w:lang w:eastAsia="ru-RU"/>
              </w:rPr>
              <w:t>16 544,3</w:t>
            </w:r>
          </w:p>
        </w:tc>
        <w:tc>
          <w:tcPr>
            <w:tcW w:w="70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b/>
                <w:sz w:val="18"/>
                <w:szCs w:val="18"/>
                <w:lang w:eastAsia="ru-RU"/>
              </w:rPr>
            </w:pPr>
            <w:r>
              <w:rPr>
                <w:rFonts w:eastAsia="Times New Roman" w:cs="Times New Roman" w:ascii="Times New Roman" w:hAnsi="Times New Roman"/>
                <w:b/>
                <w:sz w:val="18"/>
                <w:szCs w:val="18"/>
                <w:lang w:eastAsia="ru-RU"/>
              </w:rPr>
              <w:t>0,0</w:t>
            </w:r>
          </w:p>
        </w:tc>
        <w:tc>
          <w:tcPr>
            <w:tcW w:w="729"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b/>
                <w:sz w:val="18"/>
                <w:szCs w:val="18"/>
                <w:lang w:eastAsia="ru-RU"/>
              </w:rPr>
            </w:pPr>
            <w:r>
              <w:rPr>
                <w:rFonts w:eastAsia="Times New Roman" w:cs="Times New Roman" w:ascii="Times New Roman" w:hAnsi="Times New Roman"/>
                <w:b/>
                <w:sz w:val="18"/>
                <w:szCs w:val="18"/>
                <w:lang w:eastAsia="ru-RU"/>
              </w:rPr>
              <w:t>0,0</w:t>
            </w:r>
          </w:p>
        </w:tc>
        <w:tc>
          <w:tcPr>
            <w:tcW w:w="773"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b/>
                <w:sz w:val="18"/>
                <w:szCs w:val="18"/>
                <w:lang w:eastAsia="ru-RU"/>
              </w:rPr>
            </w:pPr>
            <w:r>
              <w:rPr>
                <w:rFonts w:eastAsia="Times New Roman" w:cs="Times New Roman" w:ascii="Times New Roman" w:hAnsi="Times New Roman"/>
                <w:b/>
                <w:sz w:val="18"/>
                <w:szCs w:val="18"/>
                <w:lang w:eastAsia="ru-RU"/>
              </w:rPr>
              <w:t>0,0</w:t>
            </w:r>
          </w:p>
        </w:tc>
        <w:tc>
          <w:tcPr>
            <w:tcW w:w="745"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b/>
                <w:sz w:val="18"/>
                <w:szCs w:val="18"/>
                <w:lang w:eastAsia="ru-RU"/>
              </w:rPr>
            </w:pPr>
            <w:r>
              <w:rPr>
                <w:rFonts w:eastAsia="Times New Roman" w:cs="Times New Roman" w:ascii="Times New Roman" w:hAnsi="Times New Roman"/>
                <w:b/>
                <w:sz w:val="18"/>
                <w:szCs w:val="18"/>
                <w:lang w:eastAsia="ru-RU"/>
              </w:rPr>
              <w:t>0,0</w:t>
            </w:r>
          </w:p>
        </w:tc>
        <w:tc>
          <w:tcPr>
            <w:tcW w:w="780"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b/>
                <w:sz w:val="18"/>
                <w:szCs w:val="18"/>
                <w:lang w:eastAsia="ru-RU"/>
              </w:rPr>
            </w:pPr>
            <w:r>
              <w:rPr>
                <w:rFonts w:eastAsia="Times New Roman" w:cs="Times New Roman" w:ascii="Times New Roman" w:hAnsi="Times New Roman"/>
                <w:b/>
                <w:sz w:val="18"/>
                <w:szCs w:val="18"/>
                <w:lang w:eastAsia="ru-RU"/>
              </w:rPr>
              <w:t>0,0</w:t>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b/>
                <w:sz w:val="18"/>
                <w:szCs w:val="18"/>
                <w:lang w:eastAsia="ru-RU"/>
              </w:rPr>
            </w:pPr>
            <w:r>
              <w:rPr>
                <w:rFonts w:eastAsia="Times New Roman" w:cs="Times New Roman" w:ascii="Times New Roman" w:hAnsi="Times New Roman"/>
                <w:b/>
                <w:sz w:val="18"/>
                <w:szCs w:val="18"/>
                <w:lang w:eastAsia="ru-RU"/>
              </w:rPr>
              <w:t>16 544,3</w:t>
            </w:r>
          </w:p>
        </w:tc>
      </w:tr>
      <w:tr>
        <w:trPr>
          <w:cantSplit/>
        </w:trPr>
        <w:tc>
          <w:tcPr>
            <w:tcW w:w="3262" w:type="dxa"/>
            <w:tcBorders>
              <w:top w:val="single" w:sz="4" w:space="0" w:color="000000"/>
              <w:start w:val="single" w:sz="4" w:space="0" w:color="000000"/>
              <w:bottom w:val="single" w:sz="4" w:space="0" w:color="000000"/>
            </w:tcBorders>
          </w:tcPr>
          <w:p>
            <w:pPr>
              <w:pStyle w:val="Normal"/>
              <w:spacing w:lineRule="auto" w:line="240" w:before="0" w:after="0"/>
              <w:rPr>
                <w:rFonts w:ascii="Times New Roman" w:hAnsi="Times New Roman" w:eastAsia="Times New Roman" w:cs="Times New Roman"/>
                <w:i/>
                <w:sz w:val="18"/>
                <w:szCs w:val="18"/>
                <w:lang w:eastAsia="ru-RU"/>
              </w:rPr>
            </w:pPr>
            <w:r>
              <w:rPr>
                <w:rFonts w:eastAsia="Times New Roman" w:cs="Times New Roman" w:ascii="Times New Roman" w:hAnsi="Times New Roman"/>
                <w:iCs/>
                <w:sz w:val="18"/>
                <w:szCs w:val="18"/>
                <w:lang w:eastAsia="ru-RU"/>
              </w:rPr>
              <w:t>Федеральный бюджет,</w:t>
            </w:r>
          </w:p>
        </w:tc>
        <w:tc>
          <w:tcPr>
            <w:tcW w:w="707"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6 387,8</w:t>
            </w:r>
          </w:p>
        </w:tc>
        <w:tc>
          <w:tcPr>
            <w:tcW w:w="70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29"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73"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45"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80"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6 387,8</w:t>
            </w:r>
          </w:p>
        </w:tc>
      </w:tr>
      <w:tr>
        <w:trPr>
          <w:cantSplit/>
        </w:trPr>
        <w:tc>
          <w:tcPr>
            <w:tcW w:w="3262" w:type="dxa"/>
            <w:tcBorders>
              <w:top w:val="single" w:sz="4" w:space="0" w:color="000000"/>
              <w:start w:val="single" w:sz="4" w:space="0" w:color="000000"/>
              <w:bottom w:val="single" w:sz="4" w:space="0" w:color="000000"/>
            </w:tcBorders>
          </w:tcPr>
          <w:p>
            <w:pPr>
              <w:pStyle w:val="Normal"/>
              <w:spacing w:lineRule="auto" w:line="240" w:before="0" w:after="0"/>
              <w:ind w:start="29"/>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Бюджет автономного округа</w:t>
            </w:r>
          </w:p>
        </w:tc>
        <w:tc>
          <w:tcPr>
            <w:tcW w:w="707"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9 991,1</w:t>
            </w:r>
          </w:p>
        </w:tc>
        <w:tc>
          <w:tcPr>
            <w:tcW w:w="70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29"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73"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45"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80"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9 991,1</w:t>
            </w:r>
          </w:p>
        </w:tc>
      </w:tr>
      <w:tr>
        <w:trPr>
          <w:cantSplit/>
        </w:trPr>
        <w:tc>
          <w:tcPr>
            <w:tcW w:w="3262" w:type="dxa"/>
            <w:tcBorders>
              <w:top w:val="single" w:sz="4" w:space="0" w:color="000000"/>
              <w:start w:val="single" w:sz="4" w:space="0" w:color="000000"/>
              <w:bottom w:val="single" w:sz="4" w:space="0" w:color="000000"/>
            </w:tcBorders>
          </w:tcPr>
          <w:p>
            <w:pPr>
              <w:pStyle w:val="Normal"/>
              <w:spacing w:lineRule="auto" w:line="240" w:before="0" w:after="0"/>
              <w:ind w:hanging="29" w:start="29"/>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Бюджет района</w:t>
            </w:r>
          </w:p>
        </w:tc>
        <w:tc>
          <w:tcPr>
            <w:tcW w:w="707"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165,4</w:t>
            </w:r>
          </w:p>
        </w:tc>
        <w:tc>
          <w:tcPr>
            <w:tcW w:w="70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29"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73"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45"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80"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165,4</w:t>
            </w:r>
          </w:p>
        </w:tc>
      </w:tr>
      <w:tr>
        <w:trPr>
          <w:cantSplit/>
        </w:trPr>
        <w:tc>
          <w:tcPr>
            <w:tcW w:w="3262" w:type="dxa"/>
            <w:tcBorders>
              <w:top w:val="single" w:sz="4" w:space="0" w:color="000000"/>
              <w:start w:val="single" w:sz="4" w:space="0" w:color="000000"/>
              <w:bottom w:val="single" w:sz="4" w:space="0" w:color="000000"/>
            </w:tcBorders>
          </w:tcPr>
          <w:p>
            <w:pPr>
              <w:pStyle w:val="Normal"/>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Бюджет городского поселения Игрим</w:t>
            </w:r>
          </w:p>
        </w:tc>
        <w:tc>
          <w:tcPr>
            <w:tcW w:w="707"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70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729"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773"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745"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780"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0,0</w:t>
            </w:r>
          </w:p>
        </w:tc>
      </w:tr>
      <w:tr>
        <w:trPr>
          <w:cantSplit/>
        </w:trPr>
        <w:tc>
          <w:tcPr>
            <w:tcW w:w="3262" w:type="dxa"/>
            <w:tcBorders>
              <w:top w:val="single" w:sz="4" w:space="0" w:color="000000"/>
              <w:start w:val="single" w:sz="4" w:space="0" w:color="000000"/>
              <w:bottom w:val="single" w:sz="4" w:space="0" w:color="000000"/>
            </w:tcBorders>
          </w:tcPr>
          <w:p>
            <w:pPr>
              <w:pStyle w:val="Normal"/>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Внебюджетные источники</w:t>
            </w:r>
          </w:p>
        </w:tc>
        <w:tc>
          <w:tcPr>
            <w:tcW w:w="707"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0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29"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73"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45"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80"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r>
      <w:tr>
        <w:trPr>
          <w:cantSplit/>
        </w:trPr>
        <w:tc>
          <w:tcPr>
            <w:tcW w:w="3262" w:type="dxa"/>
            <w:tcBorders>
              <w:top w:val="single" w:sz="4" w:space="0" w:color="000000"/>
              <w:start w:val="single" w:sz="4" w:space="0" w:color="000000"/>
              <w:bottom w:val="single" w:sz="4" w:space="0" w:color="000000"/>
            </w:tcBorders>
          </w:tcPr>
          <w:p>
            <w:pPr>
              <w:pStyle w:val="Normal"/>
              <w:spacing w:lineRule="auto" w:line="240" w:before="0" w:after="0"/>
              <w:jc w:val="both"/>
              <w:rPr>
                <w:rFonts w:ascii="Times New Roman" w:hAnsi="Times New Roman" w:eastAsia="Times New Roman" w:cs="Times New Roman"/>
                <w:sz w:val="18"/>
                <w:szCs w:val="18"/>
                <w:lang w:eastAsia="ru-RU"/>
              </w:rPr>
            </w:pPr>
            <w:r>
              <w:rPr>
                <w:rFonts w:ascii="Times New Roman" w:hAnsi="Times New Roman"/>
                <w:b/>
                <w:sz w:val="20"/>
                <w:szCs w:val="20"/>
              </w:rPr>
              <w:t>2. Комплекс процессных мероприятий «Благоустройство дворовых территорий» (всего), в том числе:</w:t>
            </w:r>
          </w:p>
        </w:tc>
        <w:tc>
          <w:tcPr>
            <w:tcW w:w="707"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b/>
                <w:sz w:val="18"/>
                <w:szCs w:val="18"/>
                <w:lang w:eastAsia="ru-RU"/>
              </w:rPr>
            </w:pPr>
            <w:r>
              <w:rPr>
                <w:rFonts w:eastAsia="Times New Roman" w:cs="Times New Roman" w:ascii="Times New Roman" w:hAnsi="Times New Roman"/>
                <w:b/>
                <w:sz w:val="18"/>
                <w:szCs w:val="18"/>
                <w:lang w:eastAsia="ru-RU"/>
              </w:rPr>
              <w:t>0,0</w:t>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b/>
                <w:sz w:val="18"/>
                <w:szCs w:val="18"/>
                <w:lang w:eastAsia="ru-RU"/>
              </w:rPr>
            </w:pPr>
            <w:r>
              <w:rPr>
                <w:rFonts w:eastAsia="Times New Roman" w:cs="Times New Roman" w:ascii="Times New Roman" w:hAnsi="Times New Roman"/>
                <w:b/>
                <w:sz w:val="18"/>
                <w:szCs w:val="18"/>
                <w:lang w:eastAsia="ru-RU"/>
              </w:rPr>
              <w:t>0,0</w:t>
            </w:r>
          </w:p>
        </w:tc>
        <w:tc>
          <w:tcPr>
            <w:tcW w:w="70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b/>
                <w:sz w:val="18"/>
                <w:szCs w:val="18"/>
                <w:lang w:eastAsia="ru-RU"/>
              </w:rPr>
            </w:pPr>
            <w:r>
              <w:rPr>
                <w:rFonts w:eastAsia="Times New Roman" w:cs="Times New Roman" w:ascii="Times New Roman" w:hAnsi="Times New Roman"/>
                <w:b/>
                <w:sz w:val="18"/>
                <w:szCs w:val="18"/>
                <w:lang w:eastAsia="ru-RU"/>
              </w:rPr>
              <w:t>0,0</w:t>
            </w:r>
          </w:p>
        </w:tc>
        <w:tc>
          <w:tcPr>
            <w:tcW w:w="729"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b/>
                <w:sz w:val="18"/>
                <w:szCs w:val="18"/>
                <w:lang w:eastAsia="ru-RU"/>
              </w:rPr>
            </w:pPr>
            <w:r>
              <w:rPr>
                <w:rFonts w:eastAsia="Times New Roman" w:cs="Times New Roman" w:ascii="Times New Roman" w:hAnsi="Times New Roman"/>
                <w:b/>
                <w:sz w:val="18"/>
                <w:szCs w:val="18"/>
                <w:lang w:eastAsia="ru-RU"/>
              </w:rPr>
              <w:t>0,0</w:t>
            </w:r>
          </w:p>
        </w:tc>
        <w:tc>
          <w:tcPr>
            <w:tcW w:w="773"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b/>
                <w:sz w:val="18"/>
                <w:szCs w:val="18"/>
                <w:lang w:eastAsia="ru-RU"/>
              </w:rPr>
            </w:pPr>
            <w:r>
              <w:rPr>
                <w:rFonts w:eastAsia="Times New Roman" w:cs="Times New Roman" w:ascii="Times New Roman" w:hAnsi="Times New Roman"/>
                <w:b/>
                <w:sz w:val="18"/>
                <w:szCs w:val="18"/>
                <w:lang w:eastAsia="ru-RU"/>
              </w:rPr>
              <w:t>0,0</w:t>
            </w:r>
          </w:p>
        </w:tc>
        <w:tc>
          <w:tcPr>
            <w:tcW w:w="745"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b/>
                <w:sz w:val="18"/>
                <w:szCs w:val="18"/>
                <w:lang w:eastAsia="ru-RU"/>
              </w:rPr>
            </w:pPr>
            <w:r>
              <w:rPr>
                <w:rFonts w:eastAsia="Times New Roman" w:cs="Times New Roman" w:ascii="Times New Roman" w:hAnsi="Times New Roman"/>
                <w:b/>
                <w:sz w:val="18"/>
                <w:szCs w:val="18"/>
                <w:lang w:eastAsia="ru-RU"/>
              </w:rPr>
              <w:t>0,0</w:t>
            </w:r>
          </w:p>
        </w:tc>
        <w:tc>
          <w:tcPr>
            <w:tcW w:w="780"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b/>
                <w:sz w:val="18"/>
                <w:szCs w:val="18"/>
                <w:lang w:eastAsia="ru-RU"/>
              </w:rPr>
            </w:pPr>
            <w:r>
              <w:rPr>
                <w:rFonts w:eastAsia="Times New Roman" w:cs="Times New Roman" w:ascii="Times New Roman" w:hAnsi="Times New Roman"/>
                <w:b/>
                <w:sz w:val="18"/>
                <w:szCs w:val="18"/>
                <w:lang w:eastAsia="ru-RU"/>
              </w:rPr>
              <w:t>0,0</w:t>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b/>
                <w:sz w:val="18"/>
                <w:szCs w:val="18"/>
                <w:lang w:eastAsia="ru-RU"/>
              </w:rPr>
            </w:pPr>
            <w:r>
              <w:rPr>
                <w:rFonts w:eastAsia="Times New Roman" w:cs="Times New Roman" w:ascii="Times New Roman" w:hAnsi="Times New Roman"/>
                <w:b/>
                <w:sz w:val="18"/>
                <w:szCs w:val="18"/>
                <w:lang w:eastAsia="ru-RU"/>
              </w:rPr>
              <w:t>0,0</w:t>
            </w:r>
          </w:p>
        </w:tc>
      </w:tr>
      <w:tr>
        <w:trPr>
          <w:cantSplit/>
        </w:trPr>
        <w:tc>
          <w:tcPr>
            <w:tcW w:w="3262" w:type="dxa"/>
            <w:tcBorders>
              <w:top w:val="single" w:sz="4" w:space="0" w:color="000000"/>
              <w:start w:val="single" w:sz="4" w:space="0" w:color="000000"/>
              <w:bottom w:val="single" w:sz="4" w:space="0" w:color="000000"/>
            </w:tcBorders>
          </w:tcPr>
          <w:p>
            <w:pPr>
              <w:pStyle w:val="Normal"/>
              <w:spacing w:lineRule="auto" w:line="240" w:before="0" w:after="0"/>
              <w:rPr>
                <w:rFonts w:ascii="Times New Roman" w:hAnsi="Times New Roman" w:eastAsia="Times New Roman" w:cs="Times New Roman"/>
                <w:i/>
                <w:sz w:val="18"/>
                <w:szCs w:val="18"/>
                <w:lang w:eastAsia="ru-RU"/>
              </w:rPr>
            </w:pPr>
            <w:r>
              <w:rPr>
                <w:rFonts w:eastAsia="Times New Roman" w:cs="Times New Roman" w:ascii="Times New Roman" w:hAnsi="Times New Roman"/>
                <w:iCs/>
                <w:sz w:val="18"/>
                <w:szCs w:val="18"/>
                <w:lang w:eastAsia="ru-RU"/>
              </w:rPr>
              <w:t>Федеральный бюджет,</w:t>
            </w:r>
          </w:p>
        </w:tc>
        <w:tc>
          <w:tcPr>
            <w:tcW w:w="707"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0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29"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73"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45"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80"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r>
      <w:tr>
        <w:trPr>
          <w:cantSplit/>
        </w:trPr>
        <w:tc>
          <w:tcPr>
            <w:tcW w:w="3262" w:type="dxa"/>
            <w:tcBorders>
              <w:top w:val="single" w:sz="4" w:space="0" w:color="000000"/>
              <w:start w:val="single" w:sz="4" w:space="0" w:color="000000"/>
              <w:bottom w:val="single" w:sz="4" w:space="0" w:color="000000"/>
            </w:tcBorders>
          </w:tcPr>
          <w:p>
            <w:pPr>
              <w:pStyle w:val="Normal"/>
              <w:spacing w:lineRule="auto" w:line="240" w:before="0" w:after="0"/>
              <w:ind w:start="29"/>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Бюджет автономного округа</w:t>
            </w:r>
          </w:p>
        </w:tc>
        <w:tc>
          <w:tcPr>
            <w:tcW w:w="707"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0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29"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73"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45"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80"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r>
      <w:tr>
        <w:trPr>
          <w:cantSplit/>
        </w:trPr>
        <w:tc>
          <w:tcPr>
            <w:tcW w:w="3262" w:type="dxa"/>
            <w:tcBorders>
              <w:top w:val="single" w:sz="4" w:space="0" w:color="000000"/>
              <w:start w:val="single" w:sz="4" w:space="0" w:color="000000"/>
              <w:bottom w:val="single" w:sz="4" w:space="0" w:color="000000"/>
            </w:tcBorders>
          </w:tcPr>
          <w:p>
            <w:pPr>
              <w:pStyle w:val="Normal"/>
              <w:spacing w:lineRule="auto" w:line="240" w:before="0" w:after="0"/>
              <w:ind w:hanging="29" w:start="29"/>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Бюджет района</w:t>
            </w:r>
          </w:p>
        </w:tc>
        <w:tc>
          <w:tcPr>
            <w:tcW w:w="707"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0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29"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73"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45"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80"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r>
      <w:tr>
        <w:trPr>
          <w:cantSplit/>
        </w:trPr>
        <w:tc>
          <w:tcPr>
            <w:tcW w:w="3262" w:type="dxa"/>
            <w:tcBorders>
              <w:top w:val="single" w:sz="4" w:space="0" w:color="000000"/>
              <w:start w:val="single" w:sz="4" w:space="0" w:color="000000"/>
              <w:bottom w:val="single" w:sz="4" w:space="0" w:color="000000"/>
            </w:tcBorders>
          </w:tcPr>
          <w:p>
            <w:pPr>
              <w:pStyle w:val="Normal"/>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Бюджет городского поселения Игрим</w:t>
            </w:r>
          </w:p>
        </w:tc>
        <w:tc>
          <w:tcPr>
            <w:tcW w:w="707"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0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29"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73"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45"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80"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r>
      <w:tr>
        <w:trPr>
          <w:cantSplit/>
        </w:trPr>
        <w:tc>
          <w:tcPr>
            <w:tcW w:w="3262" w:type="dxa"/>
            <w:tcBorders>
              <w:top w:val="single" w:sz="4" w:space="0" w:color="000000"/>
              <w:start w:val="single" w:sz="4" w:space="0" w:color="000000"/>
              <w:bottom w:val="single" w:sz="4" w:space="0" w:color="000000"/>
            </w:tcBorders>
          </w:tcPr>
          <w:p>
            <w:pPr>
              <w:pStyle w:val="Normal"/>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Внебюджетные источники</w:t>
            </w:r>
          </w:p>
        </w:tc>
        <w:tc>
          <w:tcPr>
            <w:tcW w:w="707"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0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29"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73"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45"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780"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c>
          <w:tcPr>
            <w:tcW w:w="82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end"/>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r>
    </w:tbl>
    <w:p>
      <w:pPr>
        <w:pStyle w:val="Normal"/>
        <w:widowControl w:val="false"/>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Spacing"/>
        <w:jc w:val="end"/>
        <w:rPr>
          <w:rFonts w:ascii="Times New Roman" w:hAnsi="Times New Roman" w:cs="Times New Roman"/>
        </w:rPr>
      </w:pPr>
      <w:r>
        <w:rPr>
          <w:rFonts w:cs="Times New Roman" w:ascii="Times New Roman" w:hAnsi="Times New Roman"/>
        </w:rPr>
        <w:t>Приложение 2</w:t>
      </w:r>
    </w:p>
    <w:p>
      <w:pPr>
        <w:pStyle w:val="NoSpacing"/>
        <w:jc w:val="end"/>
        <w:rPr>
          <w:rFonts w:ascii="Times New Roman" w:hAnsi="Times New Roman" w:cs="Times New Roman"/>
        </w:rPr>
      </w:pPr>
      <w:r>
        <w:rPr>
          <w:rFonts w:cs="Times New Roman" w:ascii="Times New Roman" w:hAnsi="Times New Roman"/>
        </w:rPr>
        <w:t>к постановлению администрации городского поселения Игрим</w:t>
      </w:r>
    </w:p>
    <w:p>
      <w:pPr>
        <w:pStyle w:val="NoSpacing"/>
        <w:jc w:val="end"/>
        <w:rPr>
          <w:rFonts w:ascii="Times New Roman" w:hAnsi="Times New Roman" w:cs="Times New Roman"/>
        </w:rPr>
      </w:pPr>
      <w:r>
        <w:rPr>
          <w:rFonts w:cs="Times New Roman" w:ascii="Times New Roman" w:hAnsi="Times New Roman"/>
        </w:rPr>
        <w:t>от 31.07.2026 № 113</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Spacing"/>
        <w:jc w:val="end"/>
        <w:rPr>
          <w:rFonts w:ascii="Times New Roman" w:hAnsi="Times New Roman" w:cs="Times New Roman"/>
          <w:b/>
        </w:rPr>
      </w:pPr>
      <w:r>
        <w:rPr>
          <w:rFonts w:cs="Times New Roman" w:ascii="Times New Roman" w:hAnsi="Times New Roman"/>
          <w:b/>
        </w:rPr>
        <w:t xml:space="preserve">Приложение 1 </w:t>
      </w:r>
    </w:p>
    <w:p>
      <w:pPr>
        <w:pStyle w:val="NoSpacing"/>
        <w:jc w:val="end"/>
        <w:rPr>
          <w:rFonts w:ascii="Times New Roman" w:hAnsi="Times New Roman" w:cs="Times New Roman"/>
          <w:b/>
        </w:rPr>
      </w:pPr>
      <w:r>
        <w:rPr>
          <w:rFonts w:cs="Times New Roman" w:ascii="Times New Roman" w:hAnsi="Times New Roman"/>
          <w:b/>
        </w:rPr>
        <w:t>к муниципальной программе</w:t>
      </w:r>
    </w:p>
    <w:tbl>
      <w:tblPr>
        <w:tblW w:w="9947" w:type="dxa"/>
        <w:jc w:val="start"/>
        <w:tblInd w:w="-449" w:type="dxa"/>
        <w:tblLayout w:type="fixed"/>
        <w:tblCellMar>
          <w:top w:w="0" w:type="dxa"/>
          <w:start w:w="108" w:type="dxa"/>
          <w:bottom w:w="0" w:type="dxa"/>
          <w:end w:w="108" w:type="dxa"/>
        </w:tblCellMar>
        <w:tblLook w:noHBand="0" w:noVBand="1" w:firstColumn="1" w:lastRow="0" w:lastColumn="0" w:firstRow="1" w:val="04a0"/>
      </w:tblPr>
      <w:tblGrid>
        <w:gridCol w:w="959"/>
        <w:gridCol w:w="3318"/>
        <w:gridCol w:w="5670"/>
      </w:tblGrid>
      <w:tr>
        <w:trPr>
          <w:trHeight w:val="1590" w:hRule="atLeast"/>
        </w:trPr>
        <w:tc>
          <w:tcPr>
            <w:tcW w:w="9947" w:type="dxa"/>
            <w:gridSpan w:val="3"/>
            <w:tcBorders/>
            <w:vAlign w:val="bottom"/>
          </w:tcPr>
          <w:p>
            <w:pPr>
              <w:pStyle w:val="Normal"/>
              <w:jc w:val="center"/>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Spacing"/>
              <w:jc w:val="center"/>
              <w:rPr>
                <w:rFonts w:ascii="Times New Roman" w:hAnsi="Times New Roman" w:cs="Times New Roman"/>
                <w:sz w:val="24"/>
                <w:szCs w:val="24"/>
              </w:rPr>
            </w:pPr>
            <w:r>
              <w:rPr>
                <w:rFonts w:cs="Times New Roman" w:ascii="Times New Roman" w:hAnsi="Times New Roman"/>
                <w:sz w:val="24"/>
                <w:szCs w:val="24"/>
              </w:rPr>
              <w:t>Адресный перечень дворовых территорий, нуждающихся в благоустройстве (с учетом их фактического состояния) и подлежащих благоустройству исходя из минимального перечня работ по благоустройству (очередность благоустройства определяется в порядке поступления предложений заинтересованных лиц об их участии в выполнении указанных работ)</w:t>
            </w:r>
          </w:p>
        </w:tc>
      </w:tr>
      <w:tr>
        <w:trPr>
          <w:trHeight w:val="585" w:hRule="atLeast"/>
        </w:trPr>
        <w:tc>
          <w:tcPr>
            <w:tcW w:w="959" w:type="dxa"/>
            <w:tcBorders>
              <w:top w:val="single" w:sz="4" w:space="0" w:color="000000"/>
              <w:start w:val="single" w:sz="4" w:space="0" w:color="000000"/>
              <w:bottom w:val="single" w:sz="4" w:space="0" w:color="000000"/>
              <w:end w:val="single" w:sz="4" w:space="0" w:color="000000"/>
            </w:tcBorders>
            <w:vAlign w:val="bottom"/>
          </w:tcPr>
          <w:p>
            <w:pPr>
              <w:pStyle w:val="NoSpacing"/>
              <w:jc w:val="center"/>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п/п</w:t>
            </w:r>
          </w:p>
        </w:tc>
        <w:tc>
          <w:tcPr>
            <w:tcW w:w="3318" w:type="dxa"/>
            <w:tcBorders>
              <w:top w:val="single" w:sz="4" w:space="0" w:color="000000"/>
              <w:bottom w:val="single" w:sz="4" w:space="0" w:color="000000"/>
              <w:end w:val="single" w:sz="4" w:space="0" w:color="000000"/>
            </w:tcBorders>
            <w:vAlign w:val="bottom"/>
          </w:tcPr>
          <w:p>
            <w:pPr>
              <w:pStyle w:val="NoSpacing"/>
              <w:jc w:val="center"/>
              <w:rPr>
                <w:rFonts w:ascii="Times New Roman" w:hAnsi="Times New Roman" w:cs="Times New Roman"/>
              </w:rPr>
            </w:pPr>
            <w:r>
              <w:rPr>
                <w:rFonts w:cs="Times New Roman" w:ascii="Times New Roman" w:hAnsi="Times New Roman"/>
              </w:rPr>
              <w:t>Перечень благоустраиваемых территорий</w:t>
            </w:r>
          </w:p>
        </w:tc>
        <w:tc>
          <w:tcPr>
            <w:tcW w:w="5670" w:type="dxa"/>
            <w:tcBorders>
              <w:top w:val="single" w:sz="4" w:space="0" w:color="000000"/>
              <w:bottom w:val="single" w:sz="4" w:space="0" w:color="000000"/>
              <w:end w:val="single" w:sz="4" w:space="0" w:color="000000"/>
            </w:tcBorders>
            <w:vAlign w:val="bottom"/>
          </w:tcPr>
          <w:p>
            <w:pPr>
              <w:pStyle w:val="NoSpacing"/>
              <w:jc w:val="center"/>
              <w:rPr>
                <w:rFonts w:ascii="Times New Roman" w:hAnsi="Times New Roman" w:cs="Times New Roman"/>
              </w:rPr>
            </w:pPr>
            <w:r>
              <w:rPr>
                <w:rFonts w:cs="Times New Roman" w:ascii="Times New Roman" w:hAnsi="Times New Roman"/>
              </w:rPr>
              <w:t>Виды работ, исходя из минимального перечня</w:t>
            </w:r>
          </w:p>
        </w:tc>
      </w:tr>
      <w:tr>
        <w:trPr>
          <w:trHeight w:val="312" w:hRule="atLeast"/>
        </w:trPr>
        <w:tc>
          <w:tcPr>
            <w:tcW w:w="9947" w:type="dxa"/>
            <w:gridSpan w:val="3"/>
            <w:tcBorders>
              <w:top w:val="single" w:sz="4" w:space="0" w:color="000000"/>
              <w:start w:val="single" w:sz="4" w:space="0" w:color="000000"/>
              <w:bottom w:val="single" w:sz="4" w:space="0" w:color="000000"/>
              <w:end w:val="single" w:sz="4" w:space="0" w:color="000000"/>
            </w:tcBorders>
            <w:vAlign w:val="bottom"/>
          </w:tcPr>
          <w:p>
            <w:pPr>
              <w:pStyle w:val="Normal"/>
              <w:spacing w:before="0" w:after="200"/>
              <w:rPr>
                <w:rFonts w:ascii="Times New Roman" w:hAnsi="Times New Roman" w:cs="Times New Roman"/>
                <w:color w:val="000000"/>
                <w:sz w:val="24"/>
                <w:szCs w:val="24"/>
              </w:rPr>
            </w:pPr>
            <w:r>
              <w:rPr>
                <w:rFonts w:cs="Times New Roman" w:ascii="Times New Roman" w:hAnsi="Times New Roman"/>
                <w:color w:val="000000"/>
                <w:sz w:val="24"/>
                <w:szCs w:val="24"/>
              </w:rPr>
              <w:t>пгт. Игрим</w:t>
            </w:r>
          </w:p>
        </w:tc>
      </w:tr>
      <w:tr>
        <w:trPr>
          <w:trHeight w:val="312" w:hRule="atLeast"/>
        </w:trPr>
        <w:tc>
          <w:tcPr>
            <w:tcW w:w="959" w:type="dxa"/>
            <w:tcBorders>
              <w:start w:val="single" w:sz="4" w:space="0" w:color="000000"/>
              <w:bottom w:val="single" w:sz="4" w:space="0" w:color="000000"/>
              <w:end w:val="single" w:sz="4" w:space="0" w:color="000000"/>
            </w:tcBorders>
            <w:vAlign w:val="bottom"/>
          </w:tcPr>
          <w:p>
            <w:pPr>
              <w:pStyle w:val="Normal"/>
              <w:spacing w:before="0" w:after="200"/>
              <w:rPr>
                <w:rFonts w:ascii="Times New Roman" w:hAnsi="Times New Roman" w:cs="Times New Roman"/>
                <w:color w:val="000000"/>
                <w:sz w:val="24"/>
                <w:szCs w:val="24"/>
              </w:rPr>
            </w:pPr>
            <w:r>
              <w:rPr>
                <w:rFonts w:cs="Times New Roman" w:ascii="Times New Roman" w:hAnsi="Times New Roman"/>
                <w:color w:val="000000"/>
                <w:sz w:val="24"/>
                <w:szCs w:val="24"/>
              </w:rPr>
              <w:t>1</w:t>
            </w:r>
          </w:p>
        </w:tc>
        <w:tc>
          <w:tcPr>
            <w:tcW w:w="3318" w:type="dxa"/>
            <w:tcBorders>
              <w:top w:val="single" w:sz="4" w:space="0" w:color="000000"/>
              <w:bottom w:val="single" w:sz="4" w:space="0" w:color="000000"/>
              <w:end w:val="single" w:sz="4" w:space="0" w:color="000000"/>
            </w:tcBorders>
            <w:vAlign w:val="bottom"/>
          </w:tcPr>
          <w:p>
            <w:pPr>
              <w:pStyle w:val="Normal"/>
              <w:spacing w:before="0" w:after="200"/>
              <w:rPr>
                <w:rFonts w:ascii="Times New Roman" w:hAnsi="Times New Roman" w:cs="Times New Roman"/>
                <w:color w:val="000000"/>
                <w:sz w:val="24"/>
                <w:szCs w:val="24"/>
              </w:rPr>
            </w:pPr>
            <w:r>
              <w:rPr>
                <w:rFonts w:cs="Times New Roman" w:ascii="Times New Roman" w:hAnsi="Times New Roman"/>
                <w:color w:val="000000"/>
                <w:sz w:val="24"/>
                <w:szCs w:val="24"/>
              </w:rPr>
              <w:t xml:space="preserve"> </w:t>
            </w:r>
            <w:r>
              <w:rPr>
                <w:rFonts w:cs="Times New Roman" w:ascii="Times New Roman" w:hAnsi="Times New Roman"/>
                <w:color w:val="000000"/>
                <w:sz w:val="24"/>
                <w:szCs w:val="24"/>
              </w:rPr>
              <w:t>ул. Промышленная, д. 30</w:t>
            </w:r>
          </w:p>
        </w:tc>
        <w:tc>
          <w:tcPr>
            <w:tcW w:w="5670" w:type="dxa"/>
            <w:vMerge w:val="restart"/>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cs="Times New Roman"/>
                <w:color w:val="000000"/>
                <w:sz w:val="24"/>
                <w:szCs w:val="24"/>
              </w:rPr>
            </w:pPr>
            <w:r>
              <w:rPr>
                <w:rFonts w:cs="Times New Roman" w:ascii="Times New Roman" w:hAnsi="Times New Roman"/>
                <w:color w:val="000000"/>
                <w:sz w:val="24"/>
                <w:szCs w:val="24"/>
              </w:rPr>
              <w:t>Ремонт дворовых проездов, установка скамеек и урн для мусора, устройство наружного освещения, устройство пешеходных тротуаров, устройство ливневых канализаций.</w:t>
            </w:r>
          </w:p>
        </w:tc>
      </w:tr>
      <w:tr>
        <w:trPr>
          <w:trHeight w:val="312" w:hRule="atLeast"/>
        </w:trPr>
        <w:tc>
          <w:tcPr>
            <w:tcW w:w="959" w:type="dxa"/>
            <w:tcBorders>
              <w:start w:val="single" w:sz="4" w:space="0" w:color="000000"/>
              <w:bottom w:val="single" w:sz="4" w:space="0" w:color="000000"/>
              <w:end w:val="single" w:sz="4" w:space="0" w:color="000000"/>
            </w:tcBorders>
            <w:vAlign w:val="bottom"/>
          </w:tcPr>
          <w:p>
            <w:pPr>
              <w:pStyle w:val="Normal"/>
              <w:spacing w:before="0" w:after="200"/>
              <w:rPr>
                <w:rFonts w:ascii="Times New Roman" w:hAnsi="Times New Roman" w:cs="Times New Roman"/>
                <w:color w:val="000000"/>
                <w:sz w:val="24"/>
                <w:szCs w:val="24"/>
              </w:rPr>
            </w:pPr>
            <w:r>
              <w:rPr>
                <w:rFonts w:cs="Times New Roman" w:ascii="Times New Roman" w:hAnsi="Times New Roman"/>
                <w:color w:val="000000"/>
                <w:sz w:val="24"/>
                <w:szCs w:val="24"/>
              </w:rPr>
              <w:t>2</w:t>
            </w:r>
          </w:p>
        </w:tc>
        <w:tc>
          <w:tcPr>
            <w:tcW w:w="3318" w:type="dxa"/>
            <w:tcBorders>
              <w:top w:val="single" w:sz="4" w:space="0" w:color="000000"/>
              <w:bottom w:val="single" w:sz="4" w:space="0" w:color="000000"/>
              <w:end w:val="single" w:sz="4" w:space="0" w:color="000000"/>
            </w:tcBorders>
            <w:vAlign w:val="bottom"/>
          </w:tcPr>
          <w:p>
            <w:pPr>
              <w:pStyle w:val="Normal"/>
              <w:spacing w:before="0" w:after="200"/>
              <w:rPr>
                <w:rFonts w:ascii="Times New Roman" w:hAnsi="Times New Roman" w:cs="Times New Roman"/>
                <w:color w:val="000000"/>
                <w:sz w:val="24"/>
                <w:szCs w:val="24"/>
              </w:rPr>
            </w:pPr>
            <w:r>
              <w:rPr>
                <w:rFonts w:cs="Times New Roman" w:ascii="Times New Roman" w:hAnsi="Times New Roman"/>
                <w:color w:val="000000"/>
                <w:sz w:val="24"/>
                <w:szCs w:val="24"/>
              </w:rPr>
              <w:t>ул. Промышленная, д. 32</w:t>
            </w:r>
          </w:p>
        </w:tc>
        <w:tc>
          <w:tcPr>
            <w:tcW w:w="567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rHeight w:val="312" w:hRule="atLeast"/>
        </w:trPr>
        <w:tc>
          <w:tcPr>
            <w:tcW w:w="959" w:type="dxa"/>
            <w:tcBorders>
              <w:start w:val="single" w:sz="4" w:space="0" w:color="000000"/>
              <w:bottom w:val="single" w:sz="4" w:space="0" w:color="000000"/>
              <w:end w:val="single" w:sz="4" w:space="0" w:color="000000"/>
            </w:tcBorders>
            <w:vAlign w:val="bottom"/>
          </w:tcPr>
          <w:p>
            <w:pPr>
              <w:pStyle w:val="Normal"/>
              <w:spacing w:before="0" w:after="200"/>
              <w:rPr>
                <w:rFonts w:ascii="Times New Roman" w:hAnsi="Times New Roman" w:cs="Times New Roman"/>
                <w:color w:val="000000"/>
                <w:sz w:val="24"/>
                <w:szCs w:val="24"/>
              </w:rPr>
            </w:pPr>
            <w:r>
              <w:rPr>
                <w:rFonts w:cs="Times New Roman" w:ascii="Times New Roman" w:hAnsi="Times New Roman"/>
                <w:color w:val="000000"/>
                <w:sz w:val="24"/>
                <w:szCs w:val="24"/>
              </w:rPr>
              <w:t>3</w:t>
            </w:r>
          </w:p>
        </w:tc>
        <w:tc>
          <w:tcPr>
            <w:tcW w:w="3318" w:type="dxa"/>
            <w:tcBorders>
              <w:top w:val="single" w:sz="4" w:space="0" w:color="000000"/>
              <w:bottom w:val="single" w:sz="4" w:space="0" w:color="000000"/>
              <w:end w:val="single" w:sz="4" w:space="0" w:color="000000"/>
            </w:tcBorders>
            <w:vAlign w:val="bottom"/>
          </w:tcPr>
          <w:p>
            <w:pPr>
              <w:pStyle w:val="Normal"/>
              <w:spacing w:before="0" w:after="200"/>
              <w:rPr>
                <w:rFonts w:ascii="Times New Roman" w:hAnsi="Times New Roman" w:cs="Times New Roman"/>
                <w:color w:val="000000"/>
                <w:sz w:val="24"/>
                <w:szCs w:val="24"/>
              </w:rPr>
            </w:pPr>
            <w:r>
              <w:rPr>
                <w:rFonts w:cs="Times New Roman" w:ascii="Times New Roman" w:hAnsi="Times New Roman"/>
                <w:color w:val="000000"/>
                <w:sz w:val="24"/>
                <w:szCs w:val="24"/>
              </w:rPr>
              <w:t>ул. Промышленная, д. 34</w:t>
            </w:r>
          </w:p>
        </w:tc>
        <w:tc>
          <w:tcPr>
            <w:tcW w:w="567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rHeight w:val="312" w:hRule="atLeast"/>
        </w:trPr>
        <w:tc>
          <w:tcPr>
            <w:tcW w:w="959" w:type="dxa"/>
            <w:tcBorders>
              <w:start w:val="single" w:sz="4" w:space="0" w:color="000000"/>
              <w:bottom w:val="single" w:sz="4" w:space="0" w:color="000000"/>
              <w:end w:val="single" w:sz="4" w:space="0" w:color="000000"/>
            </w:tcBorders>
            <w:vAlign w:val="bottom"/>
          </w:tcPr>
          <w:p>
            <w:pPr>
              <w:pStyle w:val="Normal"/>
              <w:spacing w:before="0" w:after="200"/>
              <w:rPr>
                <w:rFonts w:ascii="Times New Roman" w:hAnsi="Times New Roman" w:cs="Times New Roman"/>
                <w:color w:val="000000"/>
                <w:sz w:val="24"/>
                <w:szCs w:val="24"/>
              </w:rPr>
            </w:pPr>
            <w:r>
              <w:rPr>
                <w:rFonts w:cs="Times New Roman" w:ascii="Times New Roman" w:hAnsi="Times New Roman"/>
                <w:color w:val="000000"/>
                <w:sz w:val="24"/>
                <w:szCs w:val="24"/>
              </w:rPr>
              <w:t>4</w:t>
            </w:r>
          </w:p>
        </w:tc>
        <w:tc>
          <w:tcPr>
            <w:tcW w:w="3318" w:type="dxa"/>
            <w:tcBorders>
              <w:top w:val="single" w:sz="4" w:space="0" w:color="000000"/>
              <w:bottom w:val="single" w:sz="4" w:space="0" w:color="000000"/>
              <w:end w:val="single" w:sz="4" w:space="0" w:color="000000"/>
            </w:tcBorders>
            <w:vAlign w:val="bottom"/>
          </w:tcPr>
          <w:p>
            <w:pPr>
              <w:pStyle w:val="Normal"/>
              <w:spacing w:before="0" w:after="200"/>
              <w:rPr>
                <w:rFonts w:ascii="Times New Roman" w:hAnsi="Times New Roman" w:cs="Times New Roman"/>
                <w:color w:val="000000"/>
                <w:sz w:val="24"/>
                <w:szCs w:val="24"/>
              </w:rPr>
            </w:pPr>
            <w:r>
              <w:rPr>
                <w:rFonts w:cs="Times New Roman" w:ascii="Times New Roman" w:hAnsi="Times New Roman"/>
                <w:color w:val="000000"/>
                <w:sz w:val="24"/>
                <w:szCs w:val="24"/>
              </w:rPr>
              <w:t>ул. Быстрицкого, д.8</w:t>
            </w:r>
          </w:p>
        </w:tc>
        <w:tc>
          <w:tcPr>
            <w:tcW w:w="567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cs="Times New Roman"/>
                <w:color w:val="000000"/>
                <w:sz w:val="24"/>
                <w:szCs w:val="24"/>
              </w:rPr>
            </w:pPr>
            <w:r>
              <w:rPr>
                <w:rFonts w:cs="Times New Roman" w:ascii="Times New Roman" w:hAnsi="Times New Roman"/>
                <w:color w:val="000000"/>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Spacing"/>
        <w:jc w:val="end"/>
        <w:rPr>
          <w:rFonts w:ascii="Times New Roman" w:hAnsi="Times New Roman" w:cs="Times New Roman"/>
        </w:rPr>
      </w:pPr>
      <w:r>
        <w:rPr>
          <w:rFonts w:cs="Times New Roman" w:ascii="Times New Roman" w:hAnsi="Times New Roman"/>
        </w:rPr>
        <w:t>Приложение 3</w:t>
      </w:r>
    </w:p>
    <w:p>
      <w:pPr>
        <w:pStyle w:val="NoSpacing"/>
        <w:jc w:val="end"/>
        <w:rPr>
          <w:rFonts w:ascii="Times New Roman" w:hAnsi="Times New Roman" w:cs="Times New Roman"/>
        </w:rPr>
      </w:pPr>
      <w:r>
        <w:rPr>
          <w:rFonts w:cs="Times New Roman" w:ascii="Times New Roman" w:hAnsi="Times New Roman"/>
        </w:rPr>
        <w:t>к постановлению администрации городского поселения Игрим</w:t>
      </w:r>
    </w:p>
    <w:p>
      <w:pPr>
        <w:pStyle w:val="NoSpacing"/>
        <w:jc w:val="end"/>
        <w:rPr>
          <w:rFonts w:ascii="Times New Roman" w:hAnsi="Times New Roman" w:cs="Times New Roman"/>
        </w:rPr>
      </w:pPr>
      <w:r>
        <w:rPr>
          <w:rFonts w:cs="Times New Roman" w:ascii="Times New Roman" w:hAnsi="Times New Roman"/>
        </w:rPr>
        <w:t>от 31.07.2026 № 113</w:t>
      </w:r>
    </w:p>
    <w:p>
      <w:pPr>
        <w:pStyle w:val="Normal"/>
        <w:rPr>
          <w:rFonts w:cs="Arial"/>
          <w:b/>
          <w:szCs w:val="28"/>
        </w:rPr>
      </w:pPr>
      <w:r>
        <w:rPr>
          <w:rFonts w:cs="Arial"/>
          <w:b/>
          <w:szCs w:val="28"/>
        </w:rPr>
      </w:r>
    </w:p>
    <w:p>
      <w:pPr>
        <w:pStyle w:val="NoSpacing"/>
        <w:jc w:val="end"/>
        <w:rPr>
          <w:rFonts w:ascii="Times New Roman" w:hAnsi="Times New Roman" w:cs="Times New Roman"/>
          <w:b/>
          <w:sz w:val="24"/>
          <w:szCs w:val="24"/>
        </w:rPr>
      </w:pPr>
      <w:r>
        <w:rPr>
          <w:rFonts w:cs="Times New Roman" w:ascii="Times New Roman" w:hAnsi="Times New Roman"/>
          <w:b/>
          <w:sz w:val="24"/>
          <w:szCs w:val="24"/>
        </w:rPr>
        <w:t>Приложение 3</w:t>
      </w:r>
    </w:p>
    <w:p>
      <w:pPr>
        <w:pStyle w:val="NoSpacing"/>
        <w:jc w:val="end"/>
        <w:rPr>
          <w:rFonts w:ascii="Times New Roman" w:hAnsi="Times New Roman" w:cs="Times New Roman"/>
          <w:b/>
          <w:sz w:val="24"/>
          <w:szCs w:val="24"/>
        </w:rPr>
      </w:pPr>
      <w:r>
        <w:rPr>
          <w:rFonts w:cs="Times New Roman" w:ascii="Times New Roman" w:hAnsi="Times New Roman"/>
          <w:b/>
          <w:sz w:val="24"/>
          <w:szCs w:val="24"/>
        </w:rPr>
        <w:t>к муниципальной программе</w:t>
      </w:r>
    </w:p>
    <w:p>
      <w:pPr>
        <w:pStyle w:val="Normal"/>
        <w:rPr>
          <w:rFonts w:cs="Arial"/>
          <w:szCs w:val="28"/>
        </w:rPr>
      </w:pPr>
      <w:r>
        <w:rPr>
          <w:rFonts w:cs="Arial"/>
          <w:szCs w:val="28"/>
        </w:rPr>
      </w:r>
    </w:p>
    <w:p>
      <w:pPr>
        <w:pStyle w:val="NoSpacing"/>
        <w:jc w:val="center"/>
        <w:rPr>
          <w:rFonts w:ascii="Times New Roman" w:hAnsi="Times New Roman" w:cs="Times New Roman"/>
          <w:sz w:val="24"/>
          <w:szCs w:val="24"/>
        </w:rPr>
      </w:pPr>
      <w:r>
        <w:rPr>
          <w:rFonts w:cs="Times New Roman" w:ascii="Times New Roman" w:hAnsi="Times New Roman"/>
          <w:sz w:val="24"/>
          <w:szCs w:val="24"/>
        </w:rPr>
        <w:t>Механизм реализации муниципальной программы в соответствии с правилами предоставления и распределения субсидий из бюджета Ханты-Мансийского автономного округа-Югры бюджетам муниципальных образований в целях софинансирования муниципальных программ (подпрограмм) формирования</w:t>
      </w:r>
    </w:p>
    <w:p>
      <w:pPr>
        <w:pStyle w:val="NoSpacing"/>
        <w:jc w:val="center"/>
        <w:rPr>
          <w:rFonts w:ascii="Times New Roman" w:hAnsi="Times New Roman" w:cs="Times New Roman"/>
          <w:sz w:val="24"/>
          <w:szCs w:val="24"/>
        </w:rPr>
      </w:pPr>
      <w:r>
        <w:rPr>
          <w:rFonts w:cs="Times New Roman" w:ascii="Times New Roman" w:hAnsi="Times New Roman"/>
          <w:sz w:val="24"/>
          <w:szCs w:val="24"/>
        </w:rPr>
        <w:t>современной городской среды</w:t>
      </w:r>
    </w:p>
    <w:p>
      <w:pPr>
        <w:pStyle w:val="NoSpacing"/>
        <w:jc w:val="center"/>
        <w:rPr>
          <w:rFonts w:ascii="Times New Roman" w:hAnsi="Times New Roman" w:cs="Times New Roman"/>
          <w:sz w:val="24"/>
          <w:szCs w:val="24"/>
        </w:rPr>
      </w:pPr>
      <w:r>
        <w:rPr>
          <w:rFonts w:cs="Times New Roman" w:ascii="Times New Roman" w:hAnsi="Times New Roman"/>
          <w:sz w:val="24"/>
          <w:szCs w:val="24"/>
        </w:rPr>
      </w:r>
    </w:p>
    <w:tbl>
      <w:tblPr>
        <w:tblW w:w="9634" w:type="dxa"/>
        <w:jc w:val="center"/>
        <w:tblInd w:w="0" w:type="dxa"/>
        <w:tblLayout w:type="fixed"/>
        <w:tblCellMar>
          <w:top w:w="0" w:type="dxa"/>
          <w:start w:w="30" w:type="dxa"/>
          <w:bottom w:w="0" w:type="dxa"/>
          <w:end w:w="30" w:type="dxa"/>
        </w:tblCellMar>
        <w:tblLook w:noHBand="0" w:noVBand="1" w:firstColumn="1" w:lastRow="0" w:lastColumn="0" w:firstRow="1" w:val="04a0"/>
      </w:tblPr>
      <w:tblGrid>
        <w:gridCol w:w="885"/>
        <w:gridCol w:w="8749"/>
      </w:tblGrid>
      <w:tr>
        <w:trPr>
          <w:trHeight w:val="300" w:hRule="atLeast"/>
        </w:trPr>
        <w:tc>
          <w:tcPr>
            <w:tcW w:w="885" w:type="dxa"/>
            <w:tcBorders>
              <w:top w:val="single" w:sz="4" w:space="0" w:color="000000"/>
              <w:start w:val="single" w:sz="4" w:space="0" w:color="000000"/>
              <w:bottom w:val="single" w:sz="4" w:space="0" w:color="000000"/>
              <w:end w:val="single" w:sz="4" w:space="0" w:color="000000"/>
            </w:tcBorders>
          </w:tcPr>
          <w:p>
            <w:pPr>
              <w:pStyle w:val="NoSpacing"/>
              <w:jc w:val="center"/>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п/п</w:t>
            </w:r>
          </w:p>
        </w:tc>
        <w:tc>
          <w:tcPr>
            <w:tcW w:w="8749" w:type="dxa"/>
            <w:tcBorders>
              <w:top w:val="single" w:sz="4" w:space="0" w:color="000000"/>
              <w:start w:val="single" w:sz="4" w:space="0" w:color="000000"/>
              <w:bottom w:val="single" w:sz="4" w:space="0" w:color="000000"/>
              <w:end w:val="single" w:sz="4" w:space="0" w:color="000000"/>
            </w:tcBorders>
          </w:tcPr>
          <w:p>
            <w:pPr>
              <w:pStyle w:val="NoSpacing"/>
              <w:jc w:val="center"/>
              <w:rPr>
                <w:rFonts w:ascii="Times New Roman" w:hAnsi="Times New Roman" w:cs="Times New Roman"/>
                <w:sz w:val="24"/>
                <w:szCs w:val="24"/>
              </w:rPr>
            </w:pPr>
            <w:r>
              <w:rPr>
                <w:rFonts w:cs="Times New Roman" w:ascii="Times New Roman" w:hAnsi="Times New Roman"/>
                <w:sz w:val="24"/>
                <w:szCs w:val="24"/>
              </w:rPr>
              <w:t>Мероприятие, механизм реализации муниципальной программы</w:t>
            </w:r>
          </w:p>
        </w:tc>
      </w:tr>
      <w:tr>
        <w:trPr>
          <w:trHeight w:val="3751" w:hRule="atLeast"/>
        </w:trPr>
        <w:tc>
          <w:tcPr>
            <w:tcW w:w="885" w:type="dxa"/>
            <w:tcBorders>
              <w:top w:val="single" w:sz="4" w:space="0" w:color="000000"/>
              <w:start w:val="single" w:sz="4" w:space="0" w:color="000000"/>
              <w:bottom w:val="single" w:sz="4" w:space="0" w:color="000000"/>
              <w:end w:val="single" w:sz="4" w:space="0" w:color="000000"/>
            </w:tcBorders>
          </w:tcPr>
          <w:p>
            <w:pPr>
              <w:pStyle w:val="NoSpacing"/>
              <w:jc w:val="center"/>
              <w:rPr>
                <w:rFonts w:ascii="Times New Roman" w:hAnsi="Times New Roman" w:cs="Times New Roman"/>
                <w:sz w:val="24"/>
                <w:szCs w:val="24"/>
              </w:rPr>
            </w:pPr>
            <w:r>
              <w:rPr>
                <w:rFonts w:cs="Times New Roman" w:ascii="Times New Roman" w:hAnsi="Times New Roman"/>
                <w:sz w:val="24"/>
                <w:szCs w:val="24"/>
              </w:rPr>
              <w:t>1</w:t>
            </w:r>
          </w:p>
        </w:tc>
        <w:tc>
          <w:tcPr>
            <w:tcW w:w="8749" w:type="dxa"/>
            <w:tcBorders>
              <w:top w:val="single" w:sz="4" w:space="0" w:color="000000"/>
              <w:start w:val="single" w:sz="4" w:space="0" w:color="000000"/>
              <w:bottom w:val="single" w:sz="4" w:space="0" w:color="000000"/>
              <w:end w:val="single" w:sz="4" w:space="0" w:color="000000"/>
            </w:tcBorders>
          </w:tcPr>
          <w:p>
            <w:pPr>
              <w:pStyle w:val="No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В целях формирования земельных участков, на которых расположены многоквартирные дома: </w:t>
            </w:r>
          </w:p>
          <w:p>
            <w:pPr>
              <w:pStyle w:val="NoSpacing"/>
              <w:jc w:val="both"/>
              <w:rPr>
                <w:rFonts w:ascii="Times New Roman" w:hAnsi="Times New Roman" w:cs="Times New Roman"/>
                <w:sz w:val="24"/>
                <w:szCs w:val="24"/>
              </w:rPr>
            </w:pPr>
            <w:r>
              <w:rPr>
                <w:rFonts w:cs="Times New Roman" w:ascii="Times New Roman" w:hAnsi="Times New Roman"/>
                <w:sz w:val="24"/>
                <w:szCs w:val="24"/>
              </w:rPr>
              <w:t>- подготовка и утверждение проекта межевания территории, в соответствии с которым определяются границы земельного участка (земельных участков), на котором (на которых) расположен (расположены) многоквартирный дом (многоквартирные дома);</w:t>
            </w:r>
          </w:p>
          <w:p>
            <w:pPr>
              <w:pStyle w:val="NoSpacing"/>
              <w:jc w:val="both"/>
              <w:rPr>
                <w:rFonts w:ascii="Times New Roman" w:hAnsi="Times New Roman" w:cs="Times New Roman"/>
                <w:sz w:val="24"/>
                <w:szCs w:val="24"/>
              </w:rPr>
            </w:pPr>
            <w:r>
              <w:rPr>
                <w:rFonts w:cs="Times New Roman" w:ascii="Times New Roman" w:hAnsi="Times New Roman"/>
                <w:sz w:val="24"/>
                <w:szCs w:val="24"/>
              </w:rPr>
              <w:t>- проведение работ по подготовке документов, необходимых для осуществления государственного кадастрового учета образуемого земельного участка (образуемых земельных участков) (далее-кадастровые работы);</w:t>
            </w:r>
          </w:p>
          <w:p>
            <w:pPr>
              <w:pStyle w:val="NoSpacing"/>
              <w:jc w:val="both"/>
              <w:rPr>
                <w:rFonts w:ascii="Times New Roman" w:hAnsi="Times New Roman" w:cs="Times New Roman"/>
                <w:sz w:val="24"/>
                <w:szCs w:val="24"/>
              </w:rPr>
            </w:pPr>
            <w:r>
              <w:rPr>
                <w:rFonts w:cs="Times New Roman" w:ascii="Times New Roman" w:hAnsi="Times New Roman"/>
                <w:sz w:val="24"/>
                <w:szCs w:val="24"/>
              </w:rPr>
              <w:t>- представление в уполномоченный Правительством Российской Федерации федеральный орган исполнительной власти (его территориальный орган), осуществляющий государственный кадастровый учет, государственную регистрацию прав, документы необходимые для осуществления государственного кадастрового учета образуемого земельного участка (образуемых земельных участков).</w:t>
            </w:r>
          </w:p>
        </w:tc>
      </w:tr>
      <w:tr>
        <w:trPr>
          <w:trHeight w:val="5234" w:hRule="atLeast"/>
        </w:trPr>
        <w:tc>
          <w:tcPr>
            <w:tcW w:w="885" w:type="dxa"/>
            <w:tcBorders>
              <w:top w:val="single" w:sz="4" w:space="0" w:color="000000"/>
              <w:start w:val="single" w:sz="4" w:space="0" w:color="000000"/>
              <w:bottom w:val="single" w:sz="4" w:space="0" w:color="000000"/>
              <w:end w:val="single" w:sz="4" w:space="0" w:color="000000"/>
            </w:tcBorders>
          </w:tcPr>
          <w:p>
            <w:pPr>
              <w:pStyle w:val="NoSpacing"/>
              <w:jc w:val="center"/>
              <w:rPr>
                <w:rFonts w:ascii="Times New Roman" w:hAnsi="Times New Roman" w:cs="Times New Roman"/>
                <w:sz w:val="24"/>
                <w:szCs w:val="24"/>
              </w:rPr>
            </w:pPr>
            <w:r>
              <w:rPr>
                <w:rFonts w:cs="Times New Roman" w:ascii="Times New Roman" w:hAnsi="Times New Roman"/>
                <w:sz w:val="24"/>
                <w:szCs w:val="24"/>
              </w:rPr>
              <w:t>2</w:t>
            </w:r>
          </w:p>
        </w:tc>
        <w:tc>
          <w:tcPr>
            <w:tcW w:w="8749" w:type="dxa"/>
            <w:tcBorders>
              <w:top w:val="single" w:sz="4" w:space="0" w:color="000000"/>
              <w:start w:val="single" w:sz="4" w:space="0" w:color="000000"/>
              <w:bottom w:val="single" w:sz="4" w:space="0" w:color="000000"/>
              <w:end w:val="single" w:sz="4" w:space="0" w:color="000000"/>
            </w:tcBorders>
          </w:tcPr>
          <w:p>
            <w:pPr>
              <w:pStyle w:val="No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В целях повышения благоустройства индивидуальных жилых домов и земельных участков, предоставленных для их размещения:</w:t>
            </w:r>
          </w:p>
          <w:p>
            <w:pPr>
              <w:pStyle w:val="NoSpacing"/>
              <w:jc w:val="both"/>
              <w:rPr>
                <w:rFonts w:ascii="Times New Roman" w:hAnsi="Times New Roman" w:cs="Times New Roman"/>
                <w:sz w:val="24"/>
                <w:szCs w:val="24"/>
              </w:rPr>
            </w:pPr>
            <w:r>
              <w:rPr>
                <w:rFonts w:cs="Times New Roman" w:ascii="Times New Roman" w:hAnsi="Times New Roman"/>
                <w:sz w:val="24"/>
                <w:szCs w:val="24"/>
              </w:rPr>
              <w:t xml:space="preserve">- определение границ прилегающих территорий в соответствии с порядком, установленным законом Ханты-Мансийского автономного округа-Югры от 22 декабря 2018 года </w:t>
            </w:r>
            <w:hyperlink r:id="rId2" w:tooltip="ЗАКОН от 22.12.2018 № 116-оз Дума Ханты-Мансийского автономного округа-Югры ОБ ОТДЕЛЬНЫХ ВОПРОСАХ, РЕГУЛИРУЕМЫХ ПРАВИЛАМИ БЛАГОУСТРОЙСТВА ТЕРРИТОРИЙ МУНИЦИПАЛЬНЫХ ОБРАЗОВАНИЙ ХАНТЫ-МАНСИЙСКОГО АВТОНОМНОГО ОКРУГА - ЮГРЫ, И О ПОРЯДКЕ ОПРЕДЕЛЕНИЯ ГРАНИЦ П">
              <w:r>
                <w:rPr>
                  <w:rStyle w:val="Style9"/>
                  <w:rFonts w:cs="Times New Roman" w:ascii="Times New Roman" w:hAnsi="Times New Roman"/>
                  <w:color w:val="0000FF"/>
                  <w:sz w:val="24"/>
                  <w:szCs w:val="24"/>
                </w:rPr>
                <w:t>№ 116-оз «Об отдельных вопросах</w:t>
              </w:r>
            </w:hyperlink>
            <w:r>
              <w:rPr>
                <w:rFonts w:cs="Times New Roman" w:ascii="Times New Roman" w:hAnsi="Times New Roman"/>
                <w:sz w:val="24"/>
                <w:szCs w:val="24"/>
              </w:rPr>
              <w:t>, регулируемых правилами благоустройства территорий муниципальных образований Ханты-Мансийского автономного округа-Югры, и о порядке определения границ прилегающих территорий»;</w:t>
            </w:r>
          </w:p>
          <w:p>
            <w:pPr>
              <w:pStyle w:val="NoSpacing"/>
              <w:jc w:val="both"/>
              <w:rPr>
                <w:rFonts w:ascii="Times New Roman" w:hAnsi="Times New Roman" w:cs="Times New Roman"/>
                <w:sz w:val="24"/>
                <w:szCs w:val="24"/>
              </w:rPr>
            </w:pPr>
            <w:r>
              <w:rPr>
                <w:rFonts w:cs="Times New Roman" w:ascii="Times New Roman" w:hAnsi="Times New Roman"/>
                <w:sz w:val="24"/>
                <w:szCs w:val="24"/>
              </w:rPr>
              <w:t xml:space="preserve">- проведение инвентаризации территорий, прилегающих к индивидуальным жилым домам, и земельных участков, предоставленных для их размещения; </w:t>
            </w:r>
          </w:p>
          <w:p>
            <w:pPr>
              <w:pStyle w:val="NoSpacing"/>
              <w:jc w:val="both"/>
              <w:rPr>
                <w:rFonts w:ascii="Times New Roman" w:hAnsi="Times New Roman" w:cs="Times New Roman"/>
                <w:sz w:val="24"/>
                <w:szCs w:val="24"/>
              </w:rPr>
            </w:pPr>
            <w:r>
              <w:rPr>
                <w:rFonts w:cs="Times New Roman" w:ascii="Times New Roman" w:hAnsi="Times New Roman"/>
                <w:sz w:val="24"/>
                <w:szCs w:val="24"/>
              </w:rPr>
              <w:t>- составление паспорта благоустройства территорий, прилегающих к индивидуальным жилым домам, и земельных участков, предоставленных для их размещения;</w:t>
            </w:r>
          </w:p>
          <w:p>
            <w:pPr>
              <w:pStyle w:val="NoSpacing"/>
              <w:jc w:val="both"/>
              <w:rPr>
                <w:rFonts w:ascii="Times New Roman" w:hAnsi="Times New Roman" w:cs="Times New Roman"/>
                <w:sz w:val="24"/>
                <w:szCs w:val="24"/>
              </w:rPr>
            </w:pPr>
            <w:r>
              <w:rPr>
                <w:rFonts w:cs="Times New Roman" w:ascii="Times New Roman" w:hAnsi="Times New Roman"/>
                <w:sz w:val="24"/>
                <w:szCs w:val="24"/>
              </w:rPr>
              <w:t>- заключение соглашений с собственниками (пользователями) указанных домов (собственниками (землепользователями) земельных участков) об их благоустройстве не позднее 31.12.2030 в соответствии с требованиями, утвержденными Правилами благоустройства территории.</w:t>
            </w:r>
          </w:p>
        </w:tc>
      </w:tr>
      <w:tr>
        <w:trPr>
          <w:trHeight w:val="5518" w:hRule="atLeast"/>
        </w:trPr>
        <w:tc>
          <w:tcPr>
            <w:tcW w:w="885" w:type="dxa"/>
            <w:tcBorders>
              <w:top w:val="single" w:sz="4" w:space="0" w:color="000000"/>
              <w:start w:val="single" w:sz="4" w:space="0" w:color="000000"/>
              <w:bottom w:val="single" w:sz="4" w:space="0" w:color="000000"/>
              <w:end w:val="single" w:sz="4" w:space="0" w:color="000000"/>
            </w:tcBorders>
          </w:tcPr>
          <w:p>
            <w:pPr>
              <w:pStyle w:val="NoSpacing"/>
              <w:jc w:val="center"/>
              <w:rPr>
                <w:rFonts w:ascii="Times New Roman" w:hAnsi="Times New Roman" w:cs="Times New Roman"/>
                <w:sz w:val="24"/>
                <w:szCs w:val="24"/>
              </w:rPr>
            </w:pPr>
            <w:r>
              <w:rPr>
                <w:rFonts w:cs="Times New Roman" w:ascii="Times New Roman" w:hAnsi="Times New Roman"/>
                <w:sz w:val="24"/>
                <w:szCs w:val="24"/>
              </w:rPr>
              <w:t>3</w:t>
            </w:r>
          </w:p>
        </w:tc>
        <w:tc>
          <w:tcPr>
            <w:tcW w:w="8749" w:type="dxa"/>
            <w:tcBorders>
              <w:top w:val="single" w:sz="4" w:space="0" w:color="000000"/>
              <w:start w:val="single" w:sz="4" w:space="0" w:color="000000"/>
              <w:bottom w:val="single" w:sz="4" w:space="0" w:color="000000"/>
              <w:end w:val="single" w:sz="4" w:space="0" w:color="000000"/>
            </w:tcBorders>
          </w:tcPr>
          <w:p>
            <w:pPr>
              <w:pStyle w:val="No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Минимальный (обязательный) перечень работ включает: ремонт дворовых проездов; обеспечение освещения дворовых территорий; установку скамеек, урн для мусора, устройство ливневых канализаций (дренажных систем) и пешеходных тротуаров. </w:t>
            </w:r>
          </w:p>
          <w:p>
            <w:pPr>
              <w:pStyle w:val="No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Дополнительный перечень работ выполняется в территориях, где обеспечен минимальный перечень работ и включает: оборудование детских (игровых) и (или) спортивных площадок, оборудование автомобильных парковок, оборудование контейнерных (хозяйственных) площадок для твердых коммунальных отходов, устройство велосипедных парковок, оборудование площадок для выгула собак, озеленение дворовых территорий, устройство пешеходных дорожек и ограждений, установка элементов навигации (указателей, аншлагов, информационных стендов).</w:t>
            </w:r>
          </w:p>
          <w:p>
            <w:pPr>
              <w:pStyle w:val="No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При реализации минимального перечня работ по благоустройству дворовых территорий многоквартирных домов обязательным условием является финансовое и (или) трудовое участие собственников жилья и иных заинтересованных лиц, а в случае выполнения дополнительных работ обязательным условием является финансовое участие заинтересованных лиц. </w:t>
            </w:r>
          </w:p>
          <w:p>
            <w:pPr>
              <w:pStyle w:val="No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Минимальная доля финансового участия заинтересованных лиц при выполнении дополнительных видов работ по благоустройству дворовых территорий многоквартирных домов составляет не менее 20% от общей стоимости работ по благоустройству.</w:t>
            </w:r>
          </w:p>
          <w:p>
            <w:pPr>
              <w:pStyle w:val="No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Обязательным условием является принятие созданного в результате благоустройства имущества в состав общего имущества многоквартирного дома.</w:t>
            </w:r>
          </w:p>
        </w:tc>
      </w:tr>
      <w:tr>
        <w:trPr>
          <w:trHeight w:val="3669" w:hRule="atLeast"/>
        </w:trPr>
        <w:tc>
          <w:tcPr>
            <w:tcW w:w="885" w:type="dxa"/>
            <w:tcBorders>
              <w:top w:val="single" w:sz="4" w:space="0" w:color="000000"/>
              <w:start w:val="single" w:sz="4" w:space="0" w:color="000000"/>
              <w:bottom w:val="single" w:sz="4" w:space="0" w:color="000000"/>
              <w:end w:val="single" w:sz="4" w:space="0" w:color="000000"/>
            </w:tcBorders>
          </w:tcPr>
          <w:p>
            <w:pPr>
              <w:pStyle w:val="NoSpacing"/>
              <w:jc w:val="center"/>
              <w:rPr>
                <w:rFonts w:ascii="Times New Roman" w:hAnsi="Times New Roman" w:cs="Times New Roman"/>
                <w:sz w:val="24"/>
                <w:szCs w:val="24"/>
              </w:rPr>
            </w:pPr>
            <w:r>
              <w:rPr>
                <w:rFonts w:cs="Times New Roman" w:ascii="Times New Roman" w:hAnsi="Times New Roman"/>
                <w:sz w:val="24"/>
                <w:szCs w:val="24"/>
              </w:rPr>
              <w:t>4</w:t>
            </w:r>
          </w:p>
        </w:tc>
        <w:tc>
          <w:tcPr>
            <w:tcW w:w="8749" w:type="dxa"/>
            <w:tcBorders>
              <w:top w:val="single" w:sz="4" w:space="0" w:color="000000"/>
              <w:start w:val="single" w:sz="4" w:space="0" w:color="000000"/>
              <w:bottom w:val="single" w:sz="4" w:space="0" w:color="000000"/>
              <w:end w:val="single" w:sz="4" w:space="0" w:color="000000"/>
            </w:tcBorders>
          </w:tcPr>
          <w:p>
            <w:pPr>
              <w:pStyle w:val="No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Ответственный исполнитель муниципальной программы имеет право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 а так же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w:t>
            </w:r>
          </w:p>
        </w:tc>
      </w:tr>
      <w:tr>
        <w:trPr>
          <w:trHeight w:val="984" w:hRule="atLeast"/>
        </w:trPr>
        <w:tc>
          <w:tcPr>
            <w:tcW w:w="885" w:type="dxa"/>
            <w:tcBorders>
              <w:top w:val="single" w:sz="4" w:space="0" w:color="000000"/>
              <w:start w:val="single" w:sz="4" w:space="0" w:color="000000"/>
              <w:bottom w:val="single" w:sz="4" w:space="0" w:color="000000"/>
              <w:end w:val="single" w:sz="4" w:space="0" w:color="000000"/>
            </w:tcBorders>
          </w:tcPr>
          <w:p>
            <w:pPr>
              <w:pStyle w:val="NoSpacing"/>
              <w:jc w:val="center"/>
              <w:rPr>
                <w:rFonts w:ascii="Times New Roman" w:hAnsi="Times New Roman" w:cs="Times New Roman"/>
                <w:sz w:val="24"/>
                <w:szCs w:val="24"/>
              </w:rPr>
            </w:pPr>
            <w:r>
              <w:rPr>
                <w:rFonts w:cs="Times New Roman" w:ascii="Times New Roman" w:hAnsi="Times New Roman"/>
                <w:sz w:val="24"/>
                <w:szCs w:val="24"/>
              </w:rPr>
              <w:t>5</w:t>
            </w:r>
          </w:p>
        </w:tc>
        <w:tc>
          <w:tcPr>
            <w:tcW w:w="8749" w:type="dxa"/>
            <w:tcBorders>
              <w:top w:val="single" w:sz="4" w:space="0" w:color="000000"/>
              <w:start w:val="single" w:sz="4" w:space="0" w:color="000000"/>
              <w:bottom w:val="single" w:sz="4" w:space="0" w:color="000000"/>
              <w:end w:val="single" w:sz="4" w:space="0" w:color="000000"/>
            </w:tcBorders>
          </w:tcPr>
          <w:p>
            <w:pPr>
              <w:pStyle w:val="No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Предельная дата заключения соглашений (контрактов) по результатам закупки товаров, работ и услуг для обеспечения муниципальных нужд в целях реализации муниципальной программы устанавливается не позднее 01 апреля года предоставления субсидии.</w:t>
            </w:r>
          </w:p>
        </w:tc>
      </w:tr>
      <w:tr>
        <w:trPr>
          <w:trHeight w:val="855" w:hRule="atLeast"/>
        </w:trPr>
        <w:tc>
          <w:tcPr>
            <w:tcW w:w="885" w:type="dxa"/>
            <w:tcBorders>
              <w:top w:val="single" w:sz="4" w:space="0" w:color="000000"/>
              <w:start w:val="single" w:sz="4" w:space="0" w:color="000000"/>
              <w:bottom w:val="single" w:sz="4" w:space="0" w:color="000000"/>
              <w:end w:val="single" w:sz="4" w:space="0" w:color="000000"/>
            </w:tcBorders>
          </w:tcPr>
          <w:p>
            <w:pPr>
              <w:pStyle w:val="NoSpacing"/>
              <w:jc w:val="center"/>
              <w:rPr>
                <w:rFonts w:ascii="Times New Roman" w:hAnsi="Times New Roman" w:cs="Times New Roman"/>
                <w:sz w:val="24"/>
                <w:szCs w:val="24"/>
              </w:rPr>
            </w:pPr>
            <w:r>
              <w:rPr>
                <w:rFonts w:cs="Times New Roman" w:ascii="Times New Roman" w:hAnsi="Times New Roman"/>
                <w:sz w:val="24"/>
                <w:szCs w:val="24"/>
              </w:rPr>
              <w:t>6</w:t>
            </w:r>
          </w:p>
        </w:tc>
        <w:tc>
          <w:tcPr>
            <w:tcW w:w="8749" w:type="dxa"/>
            <w:tcBorders>
              <w:top w:val="single" w:sz="4" w:space="0" w:color="000000"/>
              <w:start w:val="single" w:sz="4" w:space="0" w:color="000000"/>
              <w:bottom w:val="single" w:sz="4" w:space="0" w:color="000000"/>
              <w:end w:val="single" w:sz="4" w:space="0" w:color="000000"/>
            </w:tcBorders>
          </w:tcPr>
          <w:p>
            <w:pPr>
              <w:pStyle w:val="No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Гарантийный срок на результаты выполненных работ по благоустройству дворовых и общественных территорий должен составлять не менее 3 лет.</w:t>
            </w:r>
          </w:p>
        </w:tc>
      </w:tr>
    </w:tbl>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sectPr>
      <w:type w:val="nextPage"/>
      <w:pgSz w:w="11906" w:h="16838"/>
      <w:pgMar w:left="1701" w:right="851"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Times New Roman">
    <w:charset w:val="01" w:characterSet="utf-8"/>
    <w:family w:val="roman"/>
    <w:pitch w:val="variable"/>
  </w:font>
  <w:font w:name="Segoe UI">
    <w:charset w:val="01" w:characterSet="utf-8"/>
    <w:family w:val="swiss"/>
    <w:pitch w:val="variable"/>
  </w:font>
  <w:font w:name="Arial">
    <w:charset w:val="01" w:characterSet="utf-8"/>
    <w:family w:val="swiss"/>
    <w:pitch w:val="variable"/>
  </w:font>
  <w:font w:name="Liberation Sans">
    <w:altName w:val="Arial"/>
    <w:charset w:val="01" w:characterSet="utf-8"/>
    <w:family w:val="swiss"/>
    <w:pitch w:val="variable"/>
  </w:font>
  <w:font w:name="Tahoma">
    <w:charset w:val="01" w:characterSet="utf-8"/>
    <w:family w:val="swiss"/>
    <w:pitch w:val="variable"/>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d6903"/>
    <w:pPr>
      <w:widowControl/>
      <w:bidi w:val="0"/>
      <w:spacing w:lineRule="auto" w:line="276" w:before="0" w:after="200"/>
      <w:jc w:val="star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Верхний колонтитул Знак"/>
    <w:basedOn w:val="DefaultParagraphFont"/>
    <w:uiPriority w:val="99"/>
    <w:qFormat/>
    <w:rsid w:val="00552caa"/>
    <w:rPr>
      <w:rFonts w:ascii="Times New Roman" w:hAnsi="Times New Roman" w:eastAsia="Times New Roman" w:cs="Times New Roman"/>
      <w:sz w:val="20"/>
      <w:szCs w:val="20"/>
      <w:lang w:eastAsia="ru-RU"/>
    </w:rPr>
  </w:style>
  <w:style w:type="character" w:styleId="Style15" w:customStyle="1">
    <w:name w:val="Нижний колонтитул Знак"/>
    <w:basedOn w:val="DefaultParagraphFont"/>
    <w:uiPriority w:val="99"/>
    <w:qFormat/>
    <w:rsid w:val="00552caa"/>
    <w:rPr>
      <w:rFonts w:ascii="Times New Roman" w:hAnsi="Times New Roman" w:eastAsia="Times New Roman" w:cs="Times New Roman"/>
      <w:sz w:val="20"/>
      <w:szCs w:val="20"/>
      <w:lang w:eastAsia="ru-RU"/>
    </w:rPr>
  </w:style>
  <w:style w:type="character" w:styleId="Hyperlink">
    <w:name w:val="Hyperlink"/>
    <w:uiPriority w:val="99"/>
    <w:unhideWhenUsed/>
    <w:rsid w:val="00552caa"/>
    <w:rPr>
      <w:color w:val="0000FF"/>
      <w:u w:val="single"/>
    </w:rPr>
  </w:style>
  <w:style w:type="character" w:styleId="Style16" w:customStyle="1">
    <w:name w:val="Текст выноски Знак"/>
    <w:basedOn w:val="DefaultParagraphFont"/>
    <w:link w:val="BalloonText"/>
    <w:uiPriority w:val="99"/>
    <w:qFormat/>
    <w:rsid w:val="00552caa"/>
    <w:rPr>
      <w:rFonts w:ascii="Segoe UI" w:hAnsi="Segoe UI" w:eastAsia="Times New Roman" w:cs="Segoe UI"/>
      <w:sz w:val="18"/>
      <w:szCs w:val="18"/>
      <w:lang w:eastAsia="ru-RU"/>
    </w:rPr>
  </w:style>
  <w:style w:type="character" w:styleId="PlaceholderText">
    <w:name w:val="Placeholder Text"/>
    <w:basedOn w:val="DefaultParagraphFont"/>
    <w:uiPriority w:val="99"/>
    <w:semiHidden/>
    <w:qFormat/>
    <w:rsid w:val="00552caa"/>
    <w:rPr>
      <w:color w:val="808080"/>
    </w:rPr>
  </w:style>
  <w:style w:type="character" w:styleId="Style17" w:customStyle="1">
    <w:name w:val="Текст сноски Знак"/>
    <w:basedOn w:val="DefaultParagraphFont"/>
    <w:semiHidden/>
    <w:qFormat/>
    <w:rsid w:val="00552caa"/>
    <w:rPr>
      <w:rFonts w:ascii="Times New Roman" w:hAnsi="Times New Roman" w:eastAsia="Times New Roman" w:cs="Times New Roman"/>
      <w:sz w:val="20"/>
      <w:szCs w:val="20"/>
      <w:lang w:eastAsia="ru-RU"/>
    </w:rPr>
  </w:style>
  <w:style w:type="character" w:styleId="Style18">
    <w:name w:val="Символ сноски"/>
    <w:basedOn w:val="DefaultParagraphFont"/>
    <w:uiPriority w:val="99"/>
    <w:unhideWhenUsed/>
    <w:qFormat/>
    <w:rsid w:val="00552caa"/>
    <w:rPr>
      <w:rFonts w:cs="Times New Roman"/>
      <w:vertAlign w:val="superscript"/>
    </w:rPr>
  </w:style>
  <w:style w:type="character" w:styleId="FootnoteReference">
    <w:name w:val="footnote reference"/>
    <w:rPr>
      <w:rFonts w:cs="Times New Roman"/>
      <w:vertAlign w:val="superscript"/>
    </w:rPr>
  </w:style>
  <w:style w:type="character" w:styleId="ConsPlusNormal" w:customStyle="1">
    <w:name w:val="ConsPlusNormal Знак"/>
    <w:link w:val="ConsPlusNormal1"/>
    <w:qFormat/>
    <w:locked/>
    <w:rsid w:val="00a64273"/>
    <w:rPr>
      <w:rFonts w:ascii="Arial" w:hAnsi="Arial" w:eastAsia="Times New Roman" w:cs="Arial"/>
      <w:sz w:val="20"/>
      <w:szCs w:val="20"/>
      <w:lang w:eastAsia="ru-RU"/>
    </w:rPr>
  </w:style>
  <w:style w:type="character" w:styleId="285pt" w:customStyle="1">
    <w:name w:val="Основной текст (2) + 8;5 pt"/>
    <w:basedOn w:val="DefaultParagraphFont"/>
    <w:qFormat/>
    <w:rsid w:val="00df2ab4"/>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17"/>
      <w:szCs w:val="17"/>
      <w:u w:val="none"/>
      <w:shd w:fill="FFFFFF" w:val="clear"/>
      <w:lang w:val="ru-RU" w:eastAsia="ru-RU" w:bidi="ru-RU"/>
    </w:rPr>
  </w:style>
  <w:style w:type="character" w:styleId="2" w:customStyle="1">
    <w:name w:val="Основной текст (2)_"/>
    <w:link w:val="21"/>
    <w:qFormat/>
    <w:rsid w:val="00ac2524"/>
    <w:rPr>
      <w:rFonts w:ascii="Times New Roman" w:hAnsi="Times New Roman" w:eastAsia="Times New Roman" w:cs="Times New Roman"/>
      <w:sz w:val="28"/>
      <w:szCs w:val="28"/>
      <w:shd w:fill="FFFFFF" w:val="clear"/>
    </w:rPr>
  </w:style>
  <w:style w:type="paragraph" w:styleId="Style19">
    <w:name w:val="Заголовок"/>
    <w:basedOn w:val="Normal"/>
    <w:next w:val="BodyText"/>
    <w:qFormat/>
    <w:pPr>
      <w:keepNext w:val="true"/>
      <w:spacing w:before="240" w:after="120"/>
    </w:pPr>
    <w:rPr>
      <w:rFonts w:ascii="Liberation Sans" w:hAnsi="Liberation Sans" w:eastAsia="Noto Sans"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Style20">
    <w:name w:val="Указатель"/>
    <w:basedOn w:val="Normal"/>
    <w:qFormat/>
    <w:pPr>
      <w:suppressLineNumbers/>
    </w:pPr>
    <w:rPr>
      <w:rFonts w:cs="FreeSans"/>
    </w:rPr>
  </w:style>
  <w:style w:type="paragraph" w:styleId="Title" w:customStyle="1">
    <w:name w:val="Title!Название НПА"/>
    <w:basedOn w:val="Normal"/>
    <w:qFormat/>
    <w:rsid w:val="008d6903"/>
    <w:pPr>
      <w:spacing w:lineRule="auto" w:line="240" w:before="240" w:after="60"/>
      <w:ind w:firstLine="567"/>
      <w:jc w:val="center"/>
      <w:outlineLvl w:val="0"/>
    </w:pPr>
    <w:rPr>
      <w:rFonts w:ascii="Arial" w:hAnsi="Arial" w:eastAsia="Times New Roman" w:cs="Arial"/>
      <w:b/>
      <w:bCs/>
      <w:kern w:val="2"/>
      <w:sz w:val="32"/>
      <w:szCs w:val="32"/>
      <w:lang w:eastAsia="ru-RU"/>
    </w:rPr>
  </w:style>
  <w:style w:type="paragraph" w:styleId="ListParagraph">
    <w:name w:val="List Paragraph"/>
    <w:basedOn w:val="Normal"/>
    <w:uiPriority w:val="34"/>
    <w:qFormat/>
    <w:rsid w:val="008d6903"/>
    <w:pPr>
      <w:spacing w:before="0" w:after="200"/>
      <w:ind w:start="720"/>
      <w:contextualSpacing/>
    </w:pPr>
    <w:rPr/>
  </w:style>
  <w:style w:type="paragraph" w:styleId="NoSpacing">
    <w:name w:val="No Spacing"/>
    <w:uiPriority w:val="1"/>
    <w:qFormat/>
    <w:rsid w:val="008d6903"/>
    <w:pPr>
      <w:widowControl/>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Style21">
    <w:name w:val="Колонтитулы"/>
    <w:basedOn w:val="Normal"/>
    <w:qFormat/>
    <w:pPr/>
    <w:rPr/>
  </w:style>
  <w:style w:type="paragraph" w:styleId="Header">
    <w:name w:val="header"/>
    <w:basedOn w:val="Normal"/>
    <w:link w:val="Style14"/>
    <w:uiPriority w:val="99"/>
    <w:rsid w:val="00552caa"/>
    <w:pPr>
      <w:tabs>
        <w:tab w:val="clear" w:pos="708"/>
        <w:tab w:val="center" w:pos="4677" w:leader="none"/>
        <w:tab w:val="right" w:pos="9355" w:leader="none"/>
      </w:tabs>
      <w:spacing w:lineRule="auto" w:line="240" w:before="0" w:after="0"/>
    </w:pPr>
    <w:rPr>
      <w:rFonts w:ascii="Times New Roman" w:hAnsi="Times New Roman" w:eastAsia="Times New Roman" w:cs="Times New Roman"/>
      <w:sz w:val="20"/>
      <w:szCs w:val="20"/>
      <w:lang w:eastAsia="ru-RU"/>
    </w:rPr>
  </w:style>
  <w:style w:type="paragraph" w:styleId="Footer">
    <w:name w:val="footer"/>
    <w:basedOn w:val="Normal"/>
    <w:link w:val="Style15"/>
    <w:uiPriority w:val="99"/>
    <w:rsid w:val="00552caa"/>
    <w:pPr>
      <w:tabs>
        <w:tab w:val="clear" w:pos="708"/>
        <w:tab w:val="center" w:pos="4677" w:leader="none"/>
        <w:tab w:val="right" w:pos="9355" w:leader="none"/>
      </w:tabs>
      <w:spacing w:lineRule="auto" w:line="240" w:before="0" w:after="0"/>
    </w:pPr>
    <w:rPr>
      <w:rFonts w:ascii="Times New Roman" w:hAnsi="Times New Roman" w:eastAsia="Times New Roman" w:cs="Times New Roman"/>
      <w:sz w:val="20"/>
      <w:szCs w:val="20"/>
      <w:lang w:eastAsia="ru-RU"/>
    </w:rPr>
  </w:style>
  <w:style w:type="paragraph" w:styleId="ConsPlusTitle" w:customStyle="1">
    <w:name w:val="ConsPlusTitle"/>
    <w:qFormat/>
    <w:rsid w:val="00552caa"/>
    <w:pPr>
      <w:widowControl w:val="false"/>
      <w:bidi w:val="0"/>
      <w:spacing w:lineRule="auto" w:line="240" w:before="0" w:after="0"/>
      <w:jc w:val="start"/>
    </w:pPr>
    <w:rPr>
      <w:rFonts w:ascii="Arial" w:hAnsi="Arial" w:eastAsia="Times New Roman" w:cs="Arial"/>
      <w:b/>
      <w:bCs/>
      <w:color w:val="auto"/>
      <w:kern w:val="0"/>
      <w:sz w:val="20"/>
      <w:szCs w:val="20"/>
      <w:lang w:eastAsia="ru-RU" w:val="ru-RU" w:bidi="ar-SA"/>
    </w:rPr>
  </w:style>
  <w:style w:type="paragraph" w:styleId="ConsPlusNormal1" w:customStyle="1">
    <w:name w:val="ConsPlusNormal"/>
    <w:link w:val="ConsPlusNormal"/>
    <w:qFormat/>
    <w:rsid w:val="00552caa"/>
    <w:pPr>
      <w:widowControl w:val="false"/>
      <w:bidi w:val="0"/>
      <w:spacing w:lineRule="auto" w:line="240" w:before="0" w:after="0"/>
      <w:ind w:firstLine="720"/>
      <w:jc w:val="start"/>
    </w:pPr>
    <w:rPr>
      <w:rFonts w:ascii="Arial" w:hAnsi="Arial" w:eastAsia="Times New Roman" w:cs="Arial"/>
      <w:color w:val="auto"/>
      <w:kern w:val="0"/>
      <w:sz w:val="20"/>
      <w:szCs w:val="20"/>
      <w:lang w:eastAsia="ru-RU" w:val="ru-RU" w:bidi="ar-SA"/>
    </w:rPr>
  </w:style>
  <w:style w:type="paragraph" w:styleId="BalloonText">
    <w:name w:val="Balloon Text"/>
    <w:basedOn w:val="Normal"/>
    <w:link w:val="Style16"/>
    <w:uiPriority w:val="99"/>
    <w:qFormat/>
    <w:rsid w:val="00552caa"/>
    <w:pPr>
      <w:spacing w:lineRule="auto" w:line="240" w:before="0" w:after="0"/>
    </w:pPr>
    <w:rPr>
      <w:rFonts w:ascii="Segoe UI" w:hAnsi="Segoe UI" w:eastAsia="Times New Roman" w:cs="Segoe UI"/>
      <w:sz w:val="18"/>
      <w:szCs w:val="18"/>
      <w:lang w:eastAsia="ru-RU"/>
    </w:rPr>
  </w:style>
  <w:style w:type="paragraph" w:styleId="ConsPlusTitlePage" w:customStyle="1">
    <w:name w:val="ConsPlusTitlePage"/>
    <w:qFormat/>
    <w:rsid w:val="00552caa"/>
    <w:pPr>
      <w:widowControl w:val="false"/>
      <w:bidi w:val="0"/>
      <w:spacing w:lineRule="auto" w:line="240" w:before="0" w:after="0"/>
      <w:jc w:val="start"/>
    </w:pPr>
    <w:rPr>
      <w:rFonts w:ascii="Tahoma" w:hAnsi="Tahoma" w:eastAsia="" w:cs="Tahoma" w:eastAsiaTheme="minorEastAsia"/>
      <w:color w:val="auto"/>
      <w:kern w:val="0"/>
      <w:sz w:val="20"/>
      <w:szCs w:val="22"/>
      <w:lang w:eastAsia="ru-RU" w:val="ru-RU" w:bidi="ar-SA"/>
    </w:rPr>
  </w:style>
  <w:style w:type="paragraph" w:styleId="FootnoteText">
    <w:name w:val="footnote text"/>
    <w:basedOn w:val="Normal"/>
    <w:link w:val="Style17"/>
    <w:semiHidden/>
    <w:unhideWhenUsed/>
    <w:rsid w:val="00552caa"/>
    <w:pPr>
      <w:spacing w:lineRule="auto" w:line="240" w:before="0" w:after="0"/>
    </w:pPr>
    <w:rPr>
      <w:rFonts w:ascii="Times New Roman" w:hAnsi="Times New Roman" w:eastAsia="Times New Roman" w:cs="Times New Roman"/>
      <w:sz w:val="20"/>
      <w:szCs w:val="20"/>
      <w:lang w:eastAsia="ru-RU"/>
    </w:rPr>
  </w:style>
  <w:style w:type="paragraph" w:styleId="21" w:customStyle="1">
    <w:name w:val="Основной текст (2)"/>
    <w:basedOn w:val="Normal"/>
    <w:link w:val="2"/>
    <w:qFormat/>
    <w:rsid w:val="00ac2524"/>
    <w:pPr>
      <w:widowControl w:val="false"/>
      <w:shd w:val="clear" w:color="auto" w:fill="FFFFFF"/>
      <w:spacing w:lineRule="exact" w:line="310" w:before="480" w:after="280"/>
      <w:ind w:firstLine="567"/>
      <w:jc w:val="both"/>
    </w:pPr>
    <w:rPr>
      <w:rFonts w:ascii="Times New Roman" w:hAnsi="Times New Roman" w:eastAsia="Times New Roman" w:cs="Times New Roman"/>
      <w:sz w:val="28"/>
      <w:szCs w:val="28"/>
    </w:rPr>
  </w:style>
  <w:style w:type="numbering" w:styleId="Style22" w:default="1">
    <w:name w:val="Без списка"/>
    <w:uiPriority w:val="99"/>
    <w:semiHidden/>
    <w:unhideWhenUsed/>
    <w:qFormat/>
  </w:style>
  <w:style w:type="numbering" w:styleId="1" w:customStyle="1">
    <w:name w:val="Нет списка1"/>
    <w:uiPriority w:val="99"/>
    <w:semiHidden/>
    <w:unhideWhenUsed/>
    <w:qFormat/>
    <w:rsid w:val="00552caa"/>
  </w:style>
  <w:style w:type="numbering" w:styleId="11" w:customStyle="1">
    <w:name w:val="Нет списка11"/>
    <w:uiPriority w:val="99"/>
    <w:semiHidden/>
    <w:unhideWhenUsed/>
    <w:qFormat/>
    <w:rsid w:val="00552caa"/>
  </w:style>
  <w:style w:type="numbering" w:styleId="22" w:customStyle="1">
    <w:name w:val="Нет списка2"/>
    <w:uiPriority w:val="99"/>
    <w:semiHidden/>
    <w:unhideWhenUsed/>
    <w:qFormat/>
    <w:rsid w:val="00552caa"/>
  </w:style>
  <w:style w:type="numbering" w:styleId="3" w:customStyle="1">
    <w:name w:val="Нет списка3"/>
    <w:uiPriority w:val="99"/>
    <w:semiHidden/>
    <w:unhideWhenUsed/>
    <w:qFormat/>
    <w:rsid w:val="00552caa"/>
  </w:style>
  <w:style w:type="table" w:default="1" w:styleId="a1">
    <w:name w:val="Normal Table"/>
    <w:uiPriority w:val="99"/>
    <w:semiHidden/>
    <w:unhideWhenUsed/>
    <w:tblPr>
      <w:tblCellMar>
        <w:top w:w="0" w:type="dxa"/>
        <w:left w:w="108" w:type="dxa"/>
        <w:bottom w:w="0" w:type="dxa"/>
        <w:right w:w="108" w:type="dxa"/>
      </w:tblCellMar>
    </w:tblPr>
  </w:style>
  <w:style w:type="table" w:styleId="aa">
    <w:name w:val="Table Grid"/>
    <w:basedOn w:val="a1"/>
    <w:uiPriority w:val="59"/>
    <w:rsid w:val="00552caa"/>
    <w:pPr>
      <w:spacing w:after="0" w:line="240" w:lineRule="auto"/>
    </w:pPr>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
    <w:name w:val="Сетка таблицы1"/>
    <w:basedOn w:val="a1"/>
    <w:uiPriority w:val="59"/>
    <w:rsid w:val="002f139b"/>
    <w:pPr>
      <w:spacing w:after="0" w:line="240" w:lineRule="auto"/>
    </w:pPr>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12.10.10.10/../../../../../../content/act/7615b8a7-c140-4b87-ad2e-e90536266cb5.html"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723</TotalTime>
  <Application>LibreOffice/26.2.5.2$Linux_X86_64 LibreOffice_project/620$Build-2</Application>
  <AppVersion>15.0000</AppVersion>
  <Pages>6</Pages>
  <Words>1168</Words>
  <Characters>8533</Characters>
  <CharactersWithSpaces>9583</CharactersWithSpaces>
  <Paragraphs>184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2023-10-31T11:31:00Z</dcterms:created>
  <dc:creator>Yula</dc:creator>
  <dc:description/>
  <dc:language>ru-RU</dc:language>
  <cp:lastModifiedBy/>
  <cp:lastPrinted>2026-08-03T12:35:00Z</cp:lastPrinted>
  <dcterms:modified xsi:type="dcterms:W3CDTF">2026-08-05T16:35:12Z</dcterms:modified>
  <cp:revision>67</cp:revision>
  <dc:subject/>
  <dc:title/>
</cp:coreProperties>
</file>

<file path=docProps/custom.xml><?xml version="1.0" encoding="utf-8"?>
<Properties xmlns="http://schemas.openxmlformats.org/officeDocument/2006/custom-properties" xmlns:vt="http://schemas.openxmlformats.org/officeDocument/2006/docPropsVTypes"/>
</file>