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СОВЕТ ДЕПУТАТОВ</w:t>
      </w: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jc w:val="center"/>
        <w:rPr>
          <w:sz w:val="28"/>
          <w:szCs w:val="28"/>
        </w:rPr>
      </w:pPr>
      <w:r w:rsidRPr="00A35FAD">
        <w:rPr>
          <w:sz w:val="28"/>
          <w:szCs w:val="28"/>
        </w:rPr>
        <w:t>Березовского района</w:t>
      </w:r>
    </w:p>
    <w:p w:rsidR="00A35FAD" w:rsidRPr="00A35FAD" w:rsidRDefault="00A35FAD" w:rsidP="00A35FAD">
      <w:pPr>
        <w:spacing w:after="0" w:line="240" w:lineRule="auto"/>
        <w:jc w:val="center"/>
        <w:rPr>
          <w:b/>
          <w:sz w:val="28"/>
          <w:szCs w:val="28"/>
        </w:rPr>
      </w:pPr>
      <w:r w:rsidRPr="00A35FAD">
        <w:rPr>
          <w:sz w:val="28"/>
          <w:szCs w:val="28"/>
        </w:rPr>
        <w:t>Ханты-Мансийского автономного округа-Югры</w:t>
      </w:r>
    </w:p>
    <w:p w:rsidR="00A35FAD" w:rsidRPr="00A35FAD" w:rsidRDefault="00A35FAD" w:rsidP="00A35FAD"/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caps/>
          <w:sz w:val="32"/>
          <w:szCs w:val="32"/>
        </w:rPr>
      </w:pPr>
      <w:r w:rsidRPr="00A35FAD">
        <w:rPr>
          <w:caps/>
          <w:sz w:val="32"/>
          <w:szCs w:val="32"/>
        </w:rPr>
        <w:t>решение</w:t>
      </w:r>
    </w:p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b/>
          <w:caps/>
          <w:sz w:val="26"/>
          <w:szCs w:val="26"/>
        </w:rPr>
      </w:pPr>
    </w:p>
    <w:p w:rsidR="00A35FAD" w:rsidRPr="00A35FAD" w:rsidRDefault="005E390C" w:rsidP="00A35F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A35FAD" w:rsidRPr="00A35FA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A35FAD" w:rsidRPr="00A35FAD">
        <w:rPr>
          <w:sz w:val="28"/>
          <w:szCs w:val="28"/>
        </w:rPr>
        <w:t>2024 г.</w:t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 w:rsidR="00A35FAD" w:rsidRPr="00A35F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A35FAD" w:rsidRPr="00A35FAD">
        <w:rPr>
          <w:sz w:val="28"/>
          <w:szCs w:val="28"/>
        </w:rPr>
        <w:t>№</w:t>
      </w:r>
      <w:r>
        <w:rPr>
          <w:sz w:val="28"/>
          <w:szCs w:val="28"/>
        </w:rPr>
        <w:t>133</w:t>
      </w:r>
    </w:p>
    <w:p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proofErr w:type="spellStart"/>
      <w:r w:rsidRPr="00A35FAD">
        <w:rPr>
          <w:sz w:val="28"/>
          <w:szCs w:val="28"/>
        </w:rPr>
        <w:t>пгт</w:t>
      </w:r>
      <w:proofErr w:type="spellEnd"/>
      <w:r w:rsidRPr="00A35FAD">
        <w:rPr>
          <w:sz w:val="28"/>
          <w:szCs w:val="28"/>
        </w:rPr>
        <w:t>. Игрим</w:t>
      </w:r>
    </w:p>
    <w:p w:rsidR="00A35FAD" w:rsidRPr="00A35FAD" w:rsidRDefault="00A35FAD" w:rsidP="00A35FAD">
      <w:pPr>
        <w:spacing w:after="0" w:line="240" w:lineRule="auto"/>
        <w:rPr>
          <w:sz w:val="26"/>
          <w:szCs w:val="26"/>
        </w:rPr>
      </w:pP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О внесении изменений</w:t>
      </w:r>
      <w:r w:rsidRPr="00A35FAD">
        <w:rPr>
          <w:sz w:val="28"/>
          <w:szCs w:val="28"/>
        </w:rPr>
        <w:t xml:space="preserve"> </w:t>
      </w:r>
      <w:r w:rsidRPr="00A35FAD">
        <w:rPr>
          <w:color w:val="auto"/>
          <w:sz w:val="28"/>
          <w:szCs w:val="28"/>
        </w:rPr>
        <w:t>в устав</w:t>
      </w: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rPr>
          <w:b/>
          <w:color w:val="auto"/>
          <w:sz w:val="26"/>
          <w:szCs w:val="26"/>
        </w:rPr>
      </w:pPr>
    </w:p>
    <w:p w:rsidR="00A35FAD" w:rsidRPr="00A35FAD" w:rsidRDefault="00ED686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ED686D">
        <w:rPr>
          <w:color w:val="auto"/>
          <w:sz w:val="28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Федерации», от 08 июля 2024 года № 171-ФЗ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 13 июля 2024 года № 181-ФЗ «О внесении изменений в отдельные законодательные акты Российской Федерации», от 13 июля 2024 года N 185-ФЗ «О внесении изменений в Федеральный закон «Об электроэнергетике» и отдельные законодательные акты Российской Федерации», от 08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08 августа 2024 года № 311-ФЗ «О внесении изменений в Федеральный закон «О теплоснабжении» и отдельные законодательные акты Российской Федерации»</w:t>
      </w:r>
      <w:r w:rsidR="00A35FAD" w:rsidRPr="00A35FAD">
        <w:rPr>
          <w:color w:val="auto"/>
          <w:sz w:val="28"/>
          <w:szCs w:val="28"/>
        </w:rPr>
        <w:t xml:space="preserve">, руководствуясь статьями 16, 42 устава городского поселения Игрим, утвержденного решением Совета депутатов городского  поселения Игрим от 31 июля 2008 года № 138, решением Совета депутатов </w:t>
      </w:r>
      <w:r>
        <w:rPr>
          <w:color w:val="auto"/>
          <w:sz w:val="28"/>
          <w:szCs w:val="28"/>
        </w:rPr>
        <w:t xml:space="preserve"> </w:t>
      </w:r>
      <w:r w:rsidR="00A35FAD" w:rsidRPr="00A35FAD">
        <w:rPr>
          <w:color w:val="auto"/>
          <w:sz w:val="28"/>
          <w:szCs w:val="28"/>
        </w:rPr>
        <w:t xml:space="preserve">городского поселения Игрим от </w:t>
      </w:r>
      <w:r w:rsidR="003F7DEF">
        <w:rPr>
          <w:color w:val="auto"/>
          <w:sz w:val="28"/>
          <w:szCs w:val="28"/>
        </w:rPr>
        <w:t>18 ноября</w:t>
      </w:r>
      <w:r w:rsidR="00A35FAD" w:rsidRPr="00A35FAD">
        <w:rPr>
          <w:color w:val="auto"/>
          <w:sz w:val="28"/>
          <w:szCs w:val="28"/>
        </w:rPr>
        <w:t xml:space="preserve"> 2024 года № </w:t>
      </w:r>
      <w:r w:rsidR="003F7DEF">
        <w:rPr>
          <w:color w:val="auto"/>
          <w:sz w:val="28"/>
          <w:szCs w:val="28"/>
        </w:rPr>
        <w:t>122</w:t>
      </w:r>
      <w:r w:rsidR="00A35FAD" w:rsidRPr="00A35FAD">
        <w:rPr>
          <w:color w:val="auto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A35FAD" w:rsidRPr="00A35FAD" w:rsidRDefault="00A35FA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A35FAD" w:rsidRPr="00A35FAD" w:rsidRDefault="00A35FAD" w:rsidP="00A35FAD">
      <w:pPr>
        <w:spacing w:after="120"/>
        <w:jc w:val="center"/>
        <w:rPr>
          <w:b/>
          <w:color w:val="auto"/>
          <w:sz w:val="28"/>
          <w:szCs w:val="28"/>
        </w:rPr>
      </w:pPr>
      <w:r w:rsidRPr="00A35FAD">
        <w:rPr>
          <w:bCs/>
          <w:color w:val="auto"/>
          <w:sz w:val="28"/>
          <w:szCs w:val="28"/>
        </w:rPr>
        <w:t xml:space="preserve">Совет поселения </w:t>
      </w:r>
      <w:r w:rsidRPr="00A35FAD">
        <w:rPr>
          <w:b/>
          <w:color w:val="auto"/>
          <w:sz w:val="28"/>
          <w:szCs w:val="28"/>
        </w:rPr>
        <w:t>РЕШИЛ: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1. Внести изменения в устав городского поселения Игрим, принятый решением Совета депутатов городского поселения Игрим от 31 июля 2008 года № 138, согласно приложению к решению.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A35FAD" w:rsidRPr="00A35FAD" w:rsidRDefault="00A35FAD" w:rsidP="00A35FAD">
      <w:pPr>
        <w:spacing w:after="0" w:line="240" w:lineRule="auto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ab/>
      </w:r>
      <w:r w:rsidRPr="00A35FAD">
        <w:rPr>
          <w:bCs/>
          <w:color w:val="auto"/>
          <w:sz w:val="28"/>
          <w:szCs w:val="28"/>
        </w:rPr>
        <w:t>3. Опубликовать</w:t>
      </w:r>
      <w:r w:rsidRPr="00A35FAD">
        <w:rPr>
          <w:color w:val="auto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</w:t>
      </w:r>
      <w:r w:rsidRPr="00A35FAD">
        <w:rPr>
          <w:color w:val="auto"/>
          <w:sz w:val="28"/>
          <w:szCs w:val="28"/>
        </w:rPr>
        <w:lastRenderedPageBreak/>
        <w:t>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4. Настоящее решение вступает в силу после его официального опубликования, за исключением подпунктов 3.1, 3.2 пункта 3 приложения к решению.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5. Установить, что: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3.1 пункта 3 приложения к настоящему решению вступает в силу после официального опубликования и распространяется на правоотношения, возникающие с 01 марта 2025 года;</w:t>
      </w:r>
    </w:p>
    <w:p w:rsidR="00A35FAD" w:rsidRPr="00A35FAD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3.2 пункта 3 приложения к настоящему решению вступает в силу после официального опубликования и распространяется на правоотношения, возникающие с 01 января 2025 года</w:t>
      </w:r>
      <w:r w:rsidR="00A35FAD" w:rsidRPr="00A35FAD">
        <w:rPr>
          <w:color w:val="auto"/>
          <w:sz w:val="28"/>
          <w:szCs w:val="28"/>
        </w:rPr>
        <w:t>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FAD" w:rsidRPr="00A35FAD" w:rsidTr="007800E8">
        <w:trPr>
          <w:trHeight w:val="80"/>
        </w:trPr>
        <w:tc>
          <w:tcPr>
            <w:tcW w:w="4785" w:type="dxa"/>
          </w:tcPr>
          <w:p w:rsidR="005E390C" w:rsidRDefault="00A35FAD" w:rsidP="005E390C">
            <w:pPr>
              <w:spacing w:after="0"/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>Председатель Совета поселения</w:t>
            </w:r>
          </w:p>
          <w:p w:rsidR="00A35FAD" w:rsidRPr="00A35FAD" w:rsidRDefault="00A35FAD" w:rsidP="005E390C">
            <w:pPr>
              <w:spacing w:after="0"/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И.Н. Дудка              </w:t>
            </w:r>
          </w:p>
        </w:tc>
        <w:tc>
          <w:tcPr>
            <w:tcW w:w="4786" w:type="dxa"/>
          </w:tcPr>
          <w:p w:rsidR="005E390C" w:rsidRDefault="005E390C" w:rsidP="005E390C">
            <w:pPr>
              <w:spacing w:after="0"/>
              <w:ind w:firstLine="9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городского поселения</w:t>
            </w:r>
          </w:p>
          <w:p w:rsidR="00A35FAD" w:rsidRPr="00A35FAD" w:rsidRDefault="005E390C" w:rsidP="005E390C">
            <w:pPr>
              <w:ind w:firstLine="9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35FAD" w:rsidRPr="00A35FAD">
              <w:rPr>
                <w:sz w:val="28"/>
                <w:szCs w:val="28"/>
              </w:rPr>
              <w:t xml:space="preserve">С. А. Храмиков                  </w:t>
            </w:r>
          </w:p>
        </w:tc>
      </w:tr>
    </w:tbl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  <w:r w:rsidRPr="00A35FAD">
        <w:rPr>
          <w:color w:val="auto"/>
        </w:rPr>
        <w:t xml:space="preserve"> </w:t>
      </w: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5E390C" w:rsidRDefault="005E390C" w:rsidP="00A35FAD">
      <w:pPr>
        <w:spacing w:after="0" w:line="240" w:lineRule="auto"/>
        <w:jc w:val="right"/>
        <w:rPr>
          <w:color w:val="auto"/>
          <w:szCs w:val="28"/>
        </w:rPr>
      </w:pPr>
    </w:p>
    <w:p w:rsidR="005E390C" w:rsidRDefault="005E390C" w:rsidP="00A35FAD">
      <w:pPr>
        <w:spacing w:after="0" w:line="240" w:lineRule="auto"/>
        <w:jc w:val="right"/>
        <w:rPr>
          <w:color w:val="auto"/>
          <w:szCs w:val="28"/>
        </w:rPr>
      </w:pPr>
    </w:p>
    <w:p w:rsidR="005E390C" w:rsidRDefault="005E390C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 xml:space="preserve">Приложение 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:rsidR="00A35FAD" w:rsidRDefault="00A35FAD" w:rsidP="00A35FAD">
      <w:pPr>
        <w:spacing w:after="0" w:line="240" w:lineRule="auto"/>
        <w:jc w:val="right"/>
      </w:pPr>
      <w:r w:rsidRPr="00A35FAD">
        <w:rPr>
          <w:szCs w:val="28"/>
        </w:rPr>
        <w:t xml:space="preserve"> городского поселения Игрим</w:t>
      </w:r>
      <w:r w:rsidRPr="00A35FAD">
        <w:rPr>
          <w:sz w:val="28"/>
          <w:szCs w:val="28"/>
        </w:rPr>
        <w:br/>
      </w:r>
      <w:proofErr w:type="gramStart"/>
      <w:r w:rsidR="005E390C">
        <w:t>от  24</w:t>
      </w:r>
      <w:proofErr w:type="gramEnd"/>
      <w:r w:rsidR="005E390C">
        <w:t xml:space="preserve"> декабря  2024 № 133</w:t>
      </w:r>
      <w:bookmarkStart w:id="0" w:name="_GoBack"/>
      <w:bookmarkEnd w:id="0"/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</w:p>
    <w:p w:rsidR="00A35FAD" w:rsidRDefault="00A35FAD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A35FAD">
        <w:rPr>
          <w:b/>
          <w:sz w:val="28"/>
          <w:szCs w:val="28"/>
        </w:rPr>
        <w:t>Изменения в устав городского поселения Игрим</w:t>
      </w:r>
    </w:p>
    <w:p w:rsidR="00A27357" w:rsidRDefault="00A27357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Статью 4 изложить в следующей редакции:</w:t>
      </w:r>
    </w:p>
    <w:p w:rsidR="00A35FAD" w:rsidRPr="00CF111D" w:rsidRDefault="00A35FAD" w:rsidP="00A35FAD">
      <w:pPr>
        <w:spacing w:after="0" w:line="240" w:lineRule="auto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«Статья 4. Местный референдум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2. Местный референдум проводится на всей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Решение о назначении местного референдума принимается Советом поселения: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1) 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по инициативе Совета поселения и главы поселения, выдвинутой ими совместно.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округа-Югры.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совместно Советом поселения и главой поселения, оформляется правовыми актами Совета поселения и главы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В случае,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объединений, главы поселения, органов государственной власти Ханты-Мансийского автономного округа - Югры, избирательной </w:t>
      </w:r>
      <w:r w:rsidRPr="00CF111D">
        <w:rPr>
          <w:sz w:val="28"/>
          <w:szCs w:val="28"/>
        </w:rPr>
        <w:lastRenderedPageBreak/>
        <w:t>комиссии Ханты-Мансийского автономного округа - Югры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7. Принятое на местном референдуме решение подлежит обязательному исполнению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Мансийского автономного округа - Югры.».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2. Статью 5 дополнить частью 9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«9. В случаях, установленных федеральным законом, муниципальные выборы назначаются соответствующей избирательной комиссией или судом.».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В статье 24: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 xml:space="preserve">3.1. часть 1 дополнить пунктами </w:t>
      </w:r>
      <w:r w:rsidR="00913D8C">
        <w:rPr>
          <w:sz w:val="28"/>
          <w:szCs w:val="28"/>
        </w:rPr>
        <w:t>4</w:t>
      </w:r>
      <w:r w:rsidRPr="00913D8C">
        <w:rPr>
          <w:sz w:val="28"/>
          <w:szCs w:val="28"/>
        </w:rPr>
        <w:t>-</w:t>
      </w:r>
      <w:r w:rsidR="00913D8C">
        <w:rPr>
          <w:sz w:val="28"/>
          <w:szCs w:val="28"/>
        </w:rPr>
        <w:t>9</w:t>
      </w:r>
      <w:r w:rsidRPr="00CF111D">
        <w:rPr>
          <w:sz w:val="28"/>
          <w:szCs w:val="28"/>
        </w:rPr>
        <w:t xml:space="preserve"> следующего содержания: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4</w:t>
      </w:r>
      <w:r w:rsidRPr="00CF111D">
        <w:rPr>
          <w:sz w:val="28"/>
          <w:szCs w:val="28"/>
        </w:rPr>
        <w:t>) разработка и утверждение комплексных схем организации дорожного движения для городского поселения, внесение в них изменений;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FAD" w:rsidRPr="00CF111D">
        <w:rPr>
          <w:sz w:val="28"/>
          <w:szCs w:val="28"/>
        </w:rPr>
        <w:t>) разработка и утверждение проектов организации дорожного движения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изменения в указанные проекты организации дорожного движения;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FAD" w:rsidRPr="00CF111D">
        <w:rPr>
          <w:sz w:val="28"/>
          <w:szCs w:val="28"/>
        </w:rPr>
        <w:t>) ведение реестра парковок общего пользования, расположенных на территории городского поселения,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5FAD" w:rsidRPr="00913D8C">
        <w:rPr>
          <w:sz w:val="28"/>
          <w:szCs w:val="28"/>
        </w:rPr>
        <w:t xml:space="preserve">) обеспечение готовности к отопительному периоду муниципального образования, в том числе выполнение обязательных требований, установленных статьей 20 Федерального закона от 27.07.2010 года № 190-ФЗ «О </w:t>
      </w:r>
      <w:r w:rsidR="00A35FAD" w:rsidRPr="00913D8C">
        <w:rPr>
          <w:sz w:val="28"/>
          <w:szCs w:val="28"/>
        </w:rPr>
        <w:lastRenderedPageBreak/>
        <w:t>теплоснабжении» и правилами обеспечения готовности к отопительному периоду, и проведение оценки обеспечения лицами, перечисленными в пунктах 2 - 6 части 1 статьи 20 Федерального закона от 27.07.2010 года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5FAD" w:rsidRPr="00913D8C">
        <w:rPr>
          <w:sz w:val="28"/>
          <w:szCs w:val="28"/>
        </w:rPr>
        <w:t>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 1 части 3 статьи 20 Федерального закона от 27.07.2010 года № 190-ФЗ «О теплоснабжении»;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5FAD" w:rsidRPr="00913D8C">
        <w:rPr>
          <w:sz w:val="28"/>
          <w:szCs w:val="28"/>
        </w:rPr>
        <w:t xml:space="preserve">) согласование порядков (планов) действий по ликвидации последствий аварийных ситуаций в сфере теплоснабжения теплоснабжающих организаций, </w:t>
      </w:r>
      <w:proofErr w:type="spellStart"/>
      <w:r w:rsidR="00A35FAD" w:rsidRPr="00913D8C">
        <w:rPr>
          <w:sz w:val="28"/>
          <w:szCs w:val="28"/>
        </w:rPr>
        <w:t>теплосетевых</w:t>
      </w:r>
      <w:proofErr w:type="spellEnd"/>
      <w:r w:rsidR="00A35FAD" w:rsidRPr="00913D8C">
        <w:rPr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 w:rsidR="00A35FAD" w:rsidRPr="00913D8C">
        <w:rPr>
          <w:sz w:val="28"/>
          <w:szCs w:val="28"/>
        </w:rPr>
        <w:t>теплосетевыми</w:t>
      </w:r>
      <w:proofErr w:type="spellEnd"/>
      <w:r w:rsidR="00A35FAD" w:rsidRPr="00913D8C">
        <w:rPr>
          <w:sz w:val="28"/>
          <w:szCs w:val="28"/>
        </w:rPr>
        <w:t xml:space="preserve"> организациями.»;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3.2. дополнить частью 2.1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«2.1. Органы местного самоуправления несут ответственность за осуществление переданных полномочий Российской Федерации, полномочий Ханты-Мансийского автономного округа - Югры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 В статье 33: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4.1. в наименовании слова «Собственность поселения» заменить словами «Муниципальное имущество»;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4.2.  дополнить частью 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 xml:space="preserve">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- Югры, в случаях, порядке и на условиях, которые установлены законодательством Российской Федерации об электроэнергетике.».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Дополнить главой X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«X. Межмуниципальное сотрудничество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47. Формы межмуниципального сотрудничества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 xml:space="preserve">Межмуниципальное сотрудничество осуществляется городским поселением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следующих формах: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1) членство городского поселения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объединениях муниципальных образований;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35FA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lastRenderedPageBreak/>
        <w:t>3) учреждение муниципальными образованиями некоммерческих организаций;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4) заключение договоров и соглашений.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48. Межмуниципальные хозяйственные общества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Совет поселения может выступать соучредителем межмуниципального печатного средства массовой информации и сетевого издания.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49. Некоммерческие организации муниципальных образований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913D8C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Совет поселения может принимать решения о создании некоммерческих организаций в форме автономных некоммерческих организаций и фондов.».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6. Статью 40 дополнить частями 4, 5, 6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«4. Губернатор Ханты-Мансийского автономного округа - Югры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Губернатор Ханты-Мансийского автономного округа - Югры вправе отрешить от должности главу поселения в случае, если в течение месяца со дня вынесения Губернатором Ханты-Мансийского автономного округа - Югры предупреждения,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B1852" w:rsidRDefault="00A35FAD" w:rsidP="003F7DEF">
      <w:pPr>
        <w:spacing w:after="0" w:line="240" w:lineRule="auto"/>
        <w:ind w:firstLine="56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CF111D">
        <w:rPr>
          <w:sz w:val="28"/>
          <w:szCs w:val="28"/>
        </w:rPr>
        <w:t>6. Глава поселения, в отношении которого Губернатором Ханты-Мансийского автономного округа - Югры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6510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1E4927"/>
    <w:rsid w:val="00207EB1"/>
    <w:rsid w:val="00247776"/>
    <w:rsid w:val="002631AB"/>
    <w:rsid w:val="00276E2E"/>
    <w:rsid w:val="0029789B"/>
    <w:rsid w:val="002C24C2"/>
    <w:rsid w:val="003548EA"/>
    <w:rsid w:val="0035739A"/>
    <w:rsid w:val="00366A04"/>
    <w:rsid w:val="00373C2B"/>
    <w:rsid w:val="003867D2"/>
    <w:rsid w:val="00393920"/>
    <w:rsid w:val="003B2D16"/>
    <w:rsid w:val="003F7DEF"/>
    <w:rsid w:val="00416EF5"/>
    <w:rsid w:val="004307B6"/>
    <w:rsid w:val="004614C8"/>
    <w:rsid w:val="00473FFB"/>
    <w:rsid w:val="004C1308"/>
    <w:rsid w:val="005270D3"/>
    <w:rsid w:val="0056296A"/>
    <w:rsid w:val="00571053"/>
    <w:rsid w:val="005A2983"/>
    <w:rsid w:val="005E390C"/>
    <w:rsid w:val="005F2291"/>
    <w:rsid w:val="005F2D1B"/>
    <w:rsid w:val="00623D3C"/>
    <w:rsid w:val="0071119E"/>
    <w:rsid w:val="00711AB4"/>
    <w:rsid w:val="0078088B"/>
    <w:rsid w:val="00784704"/>
    <w:rsid w:val="007A58DE"/>
    <w:rsid w:val="007B293D"/>
    <w:rsid w:val="007C1A51"/>
    <w:rsid w:val="007F64E2"/>
    <w:rsid w:val="00810DE3"/>
    <w:rsid w:val="00813296"/>
    <w:rsid w:val="00834C39"/>
    <w:rsid w:val="00865C55"/>
    <w:rsid w:val="00892844"/>
    <w:rsid w:val="00892AB1"/>
    <w:rsid w:val="008A1057"/>
    <w:rsid w:val="008D3014"/>
    <w:rsid w:val="008E085A"/>
    <w:rsid w:val="008F7319"/>
    <w:rsid w:val="00913D8C"/>
    <w:rsid w:val="00915973"/>
    <w:rsid w:val="00947853"/>
    <w:rsid w:val="00985C0F"/>
    <w:rsid w:val="009A40EE"/>
    <w:rsid w:val="009C27A9"/>
    <w:rsid w:val="009F2FCA"/>
    <w:rsid w:val="00A27357"/>
    <w:rsid w:val="00A35FAD"/>
    <w:rsid w:val="00AD5A6A"/>
    <w:rsid w:val="00B279ED"/>
    <w:rsid w:val="00B34CFC"/>
    <w:rsid w:val="00B636E8"/>
    <w:rsid w:val="00B6797A"/>
    <w:rsid w:val="00B71510"/>
    <w:rsid w:val="00B73544"/>
    <w:rsid w:val="00B9228F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10C10"/>
    <w:rsid w:val="00D230B9"/>
    <w:rsid w:val="00D348BE"/>
    <w:rsid w:val="00D513DC"/>
    <w:rsid w:val="00D65EA4"/>
    <w:rsid w:val="00D91C34"/>
    <w:rsid w:val="00DE173F"/>
    <w:rsid w:val="00DF1BB9"/>
    <w:rsid w:val="00E33CB2"/>
    <w:rsid w:val="00E35FFC"/>
    <w:rsid w:val="00E41C1E"/>
    <w:rsid w:val="00E560A3"/>
    <w:rsid w:val="00E67F52"/>
    <w:rsid w:val="00EB1852"/>
    <w:rsid w:val="00EB1D18"/>
    <w:rsid w:val="00EB6E4C"/>
    <w:rsid w:val="00ED686D"/>
    <w:rsid w:val="00F022DA"/>
    <w:rsid w:val="00F03469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2024-12-18T10:34:00Z</cp:lastPrinted>
  <dcterms:created xsi:type="dcterms:W3CDTF">2024-12-16T06:32:00Z</dcterms:created>
  <dcterms:modified xsi:type="dcterms:W3CDTF">2024-12-18T10:34:00Z</dcterms:modified>
</cp:coreProperties>
</file>