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F1" w:rsidRPr="00A737F1" w:rsidRDefault="00A737F1" w:rsidP="00A73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A737F1" w:rsidRPr="00A737F1" w:rsidRDefault="00A737F1" w:rsidP="00A73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A737F1" w:rsidRPr="00A737F1" w:rsidRDefault="00A737F1" w:rsidP="00A737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Березовского  района</w:t>
      </w:r>
    </w:p>
    <w:p w:rsidR="00A737F1" w:rsidRPr="00A737F1" w:rsidRDefault="00A737F1" w:rsidP="00A737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A737F1" w:rsidRPr="00A737F1" w:rsidRDefault="00A737F1" w:rsidP="00A737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37F1" w:rsidRPr="00A737F1" w:rsidRDefault="00A737F1" w:rsidP="00A737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737F1" w:rsidRPr="00A737F1" w:rsidRDefault="00A737F1" w:rsidP="00A737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67CDE" w:rsidRPr="00661E5A" w:rsidRDefault="00667CDE" w:rsidP="00667CDE">
      <w:pPr>
        <w:pStyle w:val="a4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 w:rsidR="000E6375">
        <w:rPr>
          <w:sz w:val="26"/>
          <w:szCs w:val="26"/>
        </w:rPr>
        <w:t xml:space="preserve"> «28</w:t>
      </w:r>
      <w:r w:rsidR="00A737F1">
        <w:rPr>
          <w:sz w:val="26"/>
          <w:szCs w:val="26"/>
        </w:rPr>
        <w:t>»</w:t>
      </w:r>
      <w:r w:rsidR="000E6375">
        <w:rPr>
          <w:sz w:val="26"/>
          <w:szCs w:val="26"/>
        </w:rPr>
        <w:t xml:space="preserve"> января </w:t>
      </w:r>
      <w:r w:rsidR="00A737F1">
        <w:rPr>
          <w:sz w:val="26"/>
          <w:szCs w:val="26"/>
        </w:rPr>
        <w:t xml:space="preserve"> 201</w:t>
      </w:r>
      <w:r w:rsidR="00A737F1" w:rsidRPr="00C00DE9">
        <w:rPr>
          <w:sz w:val="26"/>
          <w:szCs w:val="26"/>
        </w:rPr>
        <w:t>4</w:t>
      </w:r>
      <w:r>
        <w:rPr>
          <w:sz w:val="26"/>
          <w:szCs w:val="26"/>
        </w:rPr>
        <w:t xml:space="preserve"> г</w:t>
      </w:r>
      <w:r w:rsidR="00C00DE9">
        <w:rPr>
          <w:sz w:val="26"/>
          <w:szCs w:val="26"/>
        </w:rPr>
        <w:t>ода</w:t>
      </w:r>
      <w:r>
        <w:rPr>
          <w:sz w:val="26"/>
          <w:szCs w:val="26"/>
        </w:rPr>
        <w:t xml:space="preserve">                                          </w:t>
      </w:r>
      <w:r w:rsidR="00C00DE9">
        <w:rPr>
          <w:sz w:val="26"/>
          <w:szCs w:val="26"/>
        </w:rPr>
        <w:t xml:space="preserve">                      </w:t>
      </w:r>
      <w:r w:rsidR="007D251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661E5A">
        <w:rPr>
          <w:sz w:val="26"/>
          <w:szCs w:val="26"/>
        </w:rPr>
        <w:t xml:space="preserve">№ </w:t>
      </w:r>
      <w:r w:rsidR="000E6375">
        <w:rPr>
          <w:sz w:val="26"/>
          <w:szCs w:val="26"/>
        </w:rPr>
        <w:t>19</w:t>
      </w:r>
    </w:p>
    <w:p w:rsidR="00667CDE" w:rsidRPr="00661E5A" w:rsidRDefault="00667CDE" w:rsidP="00667CDE">
      <w:pPr>
        <w:pStyle w:val="a4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 xml:space="preserve">. </w:t>
      </w:r>
      <w:proofErr w:type="spellStart"/>
      <w:r w:rsidRPr="00661E5A">
        <w:rPr>
          <w:sz w:val="26"/>
          <w:szCs w:val="26"/>
        </w:rPr>
        <w:t>Игрим</w:t>
      </w:r>
      <w:proofErr w:type="spellEnd"/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444F" w:rsidRPr="00A2444F" w:rsidRDefault="00A2444F" w:rsidP="00A2444F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44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 централизации закупок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муниципальных нужд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</w:p>
    <w:p w:rsidR="008048F2" w:rsidRDefault="008048F2" w:rsidP="00A244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со статьей 26 Федерального </w:t>
      </w:r>
      <w:hyperlink r:id="rId6" w:history="1">
        <w:r w:rsidRPr="002B5BC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в целях установления основ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централизации закупок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нужд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444F" w:rsidRDefault="00A2444F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A244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Положение о централизации закупок для муниципальных нужд городского поселения </w:t>
      </w:r>
      <w:proofErr w:type="spellStart"/>
      <w:r w:rsidRPr="008048F2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 w:rsidR="00452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45229F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85A23" w:rsidRDefault="00485A23" w:rsidP="00A244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</w:t>
      </w:r>
      <w:r w:rsidR="00A73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и разместить на официальном сайте администрации городского поселения </w:t>
      </w:r>
      <w:proofErr w:type="spellStart"/>
      <w:r w:rsidR="00A737F1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48F2" w:rsidRPr="00485A23" w:rsidRDefault="008048F2" w:rsidP="00485A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5A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</w:t>
      </w:r>
      <w:r w:rsidR="00A737F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485A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</w:t>
      </w:r>
      <w:r w:rsidR="00A73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его обнародования и распространяется на правоотношения, возникшие </w:t>
      </w:r>
      <w:r w:rsidRPr="00485A23">
        <w:rPr>
          <w:rFonts w:ascii="Times New Roman" w:eastAsia="Calibri" w:hAnsi="Times New Roman" w:cs="Times New Roman"/>
          <w:sz w:val="28"/>
          <w:szCs w:val="28"/>
          <w:lang w:eastAsia="en-US"/>
        </w:rPr>
        <w:t>с 1 января 2014 года.</w:t>
      </w:r>
    </w:p>
    <w:p w:rsidR="008048F2" w:rsidRP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48F2" w:rsidRP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5A23" w:rsidRDefault="00A737F1" w:rsidP="00485A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485A23" w:rsidRPr="00A737F1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поселения</w:t>
      </w:r>
      <w:r w:rsidRPr="00A73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485A23" w:rsidRPr="00A73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proofErr w:type="spellStart"/>
      <w:r w:rsidR="00485A23" w:rsidRPr="00A737F1">
        <w:rPr>
          <w:rFonts w:ascii="Times New Roman" w:eastAsia="Calibri" w:hAnsi="Times New Roman" w:cs="Times New Roman"/>
          <w:sz w:val="28"/>
          <w:szCs w:val="28"/>
          <w:lang w:eastAsia="en-US"/>
        </w:rPr>
        <w:t>А.В.Затирк</w:t>
      </w:r>
      <w:r w:rsidR="00485A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proofErr w:type="spellEnd"/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A244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37F1" w:rsidRDefault="00A737F1" w:rsidP="00A244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485A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P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right"/>
        <w:outlineLvl w:val="0"/>
        <w:rPr>
          <w:rFonts w:ascii="Times New Roman" w:eastAsia="Calibri" w:hAnsi="Times New Roman" w:cs="Times New Roman"/>
          <w:lang w:eastAsia="en-US"/>
        </w:rPr>
      </w:pPr>
      <w:r w:rsidRPr="008048F2">
        <w:rPr>
          <w:rFonts w:ascii="Times New Roman" w:eastAsia="Calibri" w:hAnsi="Times New Roman" w:cs="Times New Roman"/>
          <w:lang w:eastAsia="en-US"/>
        </w:rPr>
        <w:lastRenderedPageBreak/>
        <w:t xml:space="preserve">Приложение </w:t>
      </w:r>
      <w:proofErr w:type="gramStart"/>
      <w:r w:rsidRPr="008048F2">
        <w:rPr>
          <w:rFonts w:ascii="Times New Roman" w:eastAsia="Calibri" w:hAnsi="Times New Roman" w:cs="Times New Roman"/>
          <w:lang w:eastAsia="en-US"/>
        </w:rPr>
        <w:t>к</w:t>
      </w:r>
      <w:proofErr w:type="gramEnd"/>
    </w:p>
    <w:p w:rsidR="008048F2" w:rsidRPr="008048F2" w:rsidRDefault="00A737F1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right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Постановлению администрации</w:t>
      </w:r>
    </w:p>
    <w:p w:rsidR="008048F2" w:rsidRP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right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</w:t>
      </w:r>
      <w:r w:rsidRPr="008048F2">
        <w:rPr>
          <w:rFonts w:ascii="Times New Roman" w:eastAsia="Calibri" w:hAnsi="Times New Roman" w:cs="Times New Roman"/>
          <w:lang w:eastAsia="en-US"/>
        </w:rPr>
        <w:t xml:space="preserve">ородского поселения </w:t>
      </w:r>
      <w:proofErr w:type="spellStart"/>
      <w:r w:rsidRPr="008048F2">
        <w:rPr>
          <w:rFonts w:ascii="Times New Roman" w:eastAsia="Calibri" w:hAnsi="Times New Roman" w:cs="Times New Roman"/>
          <w:lang w:eastAsia="en-US"/>
        </w:rPr>
        <w:t>Игрим</w:t>
      </w:r>
      <w:proofErr w:type="spellEnd"/>
    </w:p>
    <w:p w:rsidR="008048F2" w:rsidRP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right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</w:t>
      </w:r>
      <w:r w:rsidR="000E6375">
        <w:rPr>
          <w:rFonts w:ascii="Times New Roman" w:eastAsia="Calibri" w:hAnsi="Times New Roman" w:cs="Times New Roman"/>
          <w:lang w:eastAsia="en-US"/>
        </w:rPr>
        <w:t xml:space="preserve">т « 28»  января </w:t>
      </w:r>
      <w:r w:rsidR="00A737F1">
        <w:rPr>
          <w:rFonts w:ascii="Times New Roman" w:eastAsia="Calibri" w:hAnsi="Times New Roman" w:cs="Times New Roman"/>
          <w:lang w:eastAsia="en-US"/>
        </w:rPr>
        <w:t xml:space="preserve"> 2014</w:t>
      </w:r>
      <w:r w:rsidR="00C00DE9">
        <w:rPr>
          <w:rFonts w:ascii="Times New Roman" w:eastAsia="Calibri" w:hAnsi="Times New Roman" w:cs="Times New Roman"/>
          <w:lang w:eastAsia="en-US"/>
        </w:rPr>
        <w:t xml:space="preserve"> года </w:t>
      </w:r>
      <w:r w:rsidR="000E6375">
        <w:rPr>
          <w:rFonts w:ascii="Times New Roman" w:eastAsia="Calibri" w:hAnsi="Times New Roman" w:cs="Times New Roman"/>
          <w:lang w:eastAsia="en-US"/>
        </w:rPr>
        <w:t xml:space="preserve"> № 19</w:t>
      </w:r>
      <w:bookmarkStart w:id="0" w:name="_GoBack"/>
      <w:bookmarkEnd w:id="0"/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A2444F" w:rsidRPr="008048F2" w:rsidRDefault="00A2444F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A2444F" w:rsidRPr="00A2444F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4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Положение о централизации закупок </w:t>
      </w:r>
      <w:proofErr w:type="gramStart"/>
      <w:r w:rsidRPr="00A24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</w:t>
      </w:r>
      <w:proofErr w:type="gramEnd"/>
      <w:r w:rsidRPr="00A24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8048F2" w:rsidRPr="00A2444F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4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муниципальных нужд городского поселения </w:t>
      </w:r>
      <w:proofErr w:type="spellStart"/>
      <w:r w:rsidRPr="00A24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Игрим</w:t>
      </w:r>
      <w:proofErr w:type="spellEnd"/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48F2" w:rsidRPr="002B5BC4" w:rsidRDefault="008048F2" w:rsidP="00A2444F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51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Общие положения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Настоящим Положением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со статьей 26 Федерального </w:t>
      </w:r>
      <w:hyperlink r:id="rId7" w:history="1">
        <w:r w:rsidRPr="002B5BC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устанавливаются основы централизации закупок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нужд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048F2" w:rsidRPr="002B5BC4" w:rsidRDefault="00DD0368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Настоящее</w:t>
      </w:r>
      <w:r w:rsidR="008048F2" w:rsidRPr="002B5B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Положение</w:t>
      </w:r>
      <w:r w:rsidR="008048F2" w:rsidRPr="002B5BC4">
        <w:rPr>
          <w:rFonts w:ascii="Times New Roman" w:hAnsi="Times New Roman" w:cs="Times New Roman"/>
          <w:sz w:val="28"/>
          <w:szCs w:val="28"/>
          <w:lang w:eastAsia="en-US"/>
        </w:rPr>
        <w:t xml:space="preserve"> применяется к закупкам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8048F2" w:rsidRPr="002B5BC4">
        <w:rPr>
          <w:rFonts w:ascii="Times New Roman" w:hAnsi="Times New Roman" w:cs="Times New Roman"/>
          <w:sz w:val="28"/>
          <w:szCs w:val="28"/>
          <w:lang w:eastAsia="en-US"/>
        </w:rPr>
        <w:t xml:space="preserve"> заказчиков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Игрим</w:t>
      </w:r>
      <w:proofErr w:type="spellEnd"/>
      <w:r w:rsidR="008048F2" w:rsidRPr="002B5BC4">
        <w:rPr>
          <w:rFonts w:ascii="Times New Roman" w:hAnsi="Times New Roman" w:cs="Times New Roman"/>
          <w:sz w:val="28"/>
          <w:szCs w:val="28"/>
          <w:lang w:eastAsia="en-US"/>
        </w:rPr>
        <w:t xml:space="preserve">, за счет средств бюджета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Игрим</w:t>
      </w:r>
      <w:proofErr w:type="spellEnd"/>
      <w:r w:rsidR="008048F2" w:rsidRPr="002B5BC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hAnsi="Times New Roman" w:cs="Times New Roman"/>
          <w:sz w:val="28"/>
          <w:szCs w:val="28"/>
          <w:lang w:eastAsia="en-US"/>
        </w:rPr>
        <w:t xml:space="preserve">3. Все термины, используемые в настоящем </w:t>
      </w:r>
      <w:r w:rsidR="00DD0368">
        <w:rPr>
          <w:rFonts w:ascii="Times New Roman" w:hAnsi="Times New Roman" w:cs="Times New Roman"/>
          <w:sz w:val="28"/>
          <w:szCs w:val="28"/>
          <w:lang w:eastAsia="en-US"/>
        </w:rPr>
        <w:t>Положении</w:t>
      </w:r>
      <w:r w:rsidRPr="002B5BC4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применяются в значении,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444F" w:rsidRPr="00A737F1" w:rsidRDefault="008048F2" w:rsidP="00A737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Централизация закупок для нужд </w:t>
      </w:r>
      <w:r w:rsidR="007D25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="007D2514" w:rsidRPr="00A73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7F1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заказчиков</w:t>
      </w:r>
    </w:p>
    <w:p w:rsidR="008048F2" w:rsidRPr="00A2444F" w:rsidRDefault="00DD0368" w:rsidP="00A244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 w:rsidRPr="00A2444F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 целях централизации закупок </w:t>
      </w:r>
      <w:r w:rsidR="00DD03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 w:rsidR="00DD0368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на определение поставщиков (под</w:t>
      </w:r>
      <w:r w:rsidR="00DD03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рядчиков, исполнителей) для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4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заказчиков  возлагаются на </w:t>
      </w:r>
      <w:r w:rsidR="00DD03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организационный отдел администрации городского поселения </w:t>
      </w:r>
      <w:proofErr w:type="spellStart"/>
      <w:r w:rsidR="00DD0368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уполномоченный орган).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2. Уполномоченный орган осуществляет следующие полномочия на определение поставщиков (подрядчико</w:t>
      </w:r>
      <w:r w:rsidR="00DD03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в, исполнителей) для </w:t>
      </w:r>
      <w:r w:rsidR="00667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="00DD0368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заказчиков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проведение открытых конкурсов, аукционов в электронной форме; 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проведение конкурсов с ограниченным участием, двухэтапных конкурсов; 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3) проведение закрытых конкурсов, закрытых конкурсов с ограниченным участием, закрытых двухэтапных конкурсов, закрытых аукционов;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проведение запросов предложений на основании пункта 6 части 2 статьи 83 Закона о контрактной системе в случаях осуществления закупки товара, работы или услуги, являющихся предметом расторгнутого контракта,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заключение которого было осуществлено заказчиком по результатам определения поставщика (подрядчика, исполнителя) способами, указанными в пунктах 1 - 3 части 2 настоящей статьи;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5) проведение запросов предложений на основании пункта 8 части 2 статьи 83 Закона о контрактной системе.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Для реализации своих полномочий уполномоченный орган вправе: 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1) привлекать специализированные организации в порядке, установленном статьей 40 Закона о контрактной системе;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2) привлекать экспертов и (или) экспертные организации в порядке, установленном статьей 41 Закона о контрактной системе.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За исключением случая, предусмотренного частью 2 статьи 5 настоящего </w:t>
      </w:r>
      <w:r w:rsidR="00DD0368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, не допускается возлагать на уполномоченный орган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контракта. За исключением указанного случая контракты подписываются заказчиками, для которых были определены поставщики (подрядчики, исполнители).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48F2" w:rsidRPr="00A2444F" w:rsidRDefault="00A737F1" w:rsidP="00A2444F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048F2" w:rsidRPr="00A2444F">
        <w:rPr>
          <w:rFonts w:ascii="Times New Roman" w:eastAsia="Calibri" w:hAnsi="Times New Roman" w:cs="Times New Roman"/>
          <w:sz w:val="28"/>
          <w:szCs w:val="28"/>
          <w:lang w:eastAsia="en-US"/>
        </w:rPr>
        <w:t>. Полномочия заказчиков по осуществлению закупок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1. Заказчики осуществляют следующие полномочия в сфере закупок товаров, работ, услуг: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планирование закупок, обоснование закупок, определение условий контракта, в том числе определение начальной (максимальной) цены контракта, подписание контракта (за исключением случая, предусмотренного частью 2 статьи 5 настоящего </w:t>
      </w:r>
      <w:r w:rsidR="00DD0368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); 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2) определение поставщиков (подрядчиков, исполнителей) путем проведения запросов котировок;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определение поставщиков (подрядчиков, исполнителей) путем проведения запросов предложений, за исключением случаев, предусмотренных пунктом 6 части 2 статьи 83 Закона о контрактной системе при закупке товара, работы или услуги, являющихся предметом расторгнутого контракта, заключение которого было осуществлено заказчиком по результатам определения поставщика (подрядчика, исполнителя) способами, указанными в пунктах 1 - 3 части 2 статьи 2 настоящего </w:t>
      </w:r>
      <w:r w:rsidR="00DD0368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, и пунктом 8 части</w:t>
      </w:r>
      <w:proofErr w:type="gram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статьи 83 Закона о контрактной системе;</w:t>
      </w:r>
    </w:p>
    <w:p w:rsidR="008048F2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4) осуществление закупок у единственного поставщика (подрядчика, исполнителя).</w:t>
      </w:r>
    </w:p>
    <w:p w:rsidR="00BF0267" w:rsidRPr="002B5BC4" w:rsidRDefault="00BF0267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444F" w:rsidRPr="00BF0267" w:rsidRDefault="008048F2" w:rsidP="00A737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2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взаимодействия </w:t>
      </w:r>
      <w:r w:rsidR="000B1B9E" w:rsidRPr="00BF02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Pr="00BF0267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заказчиков с уполномоченным органом</w:t>
      </w:r>
    </w:p>
    <w:p w:rsidR="008048F2" w:rsidRPr="00A2444F" w:rsidRDefault="008048F2" w:rsidP="00A244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048F2" w:rsidRPr="002B5BC4" w:rsidRDefault="00D15A44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0B1B9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аказчики, </w:t>
      </w:r>
      <w:r w:rsidR="008048F2"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исключением случая, предусмотренного частью 2 статьи 5 настоящего </w:t>
      </w:r>
      <w:r w:rsidR="00B62DC8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="008048F2"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осуществляют </w:t>
      </w:r>
      <w:r w:rsidR="008048F2"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планирование закупки, обоснование закупки, разрабатывают и утверждают техническое задание, проект контракта, определяют начальную (максимальную) цену контракта, способ закупки и условия ее осуществления.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0B1B9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з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аказчики осуществляют разработку технического задания в соответствии </w:t>
      </w:r>
      <w:r w:rsidR="00D15A44">
        <w:rPr>
          <w:rFonts w:ascii="Times New Roman" w:eastAsia="Calibri" w:hAnsi="Times New Roman" w:cs="Times New Roman"/>
          <w:sz w:val="28"/>
          <w:szCs w:val="28"/>
          <w:lang w:eastAsia="en-US"/>
        </w:rPr>
        <w:t>с Законом о контрактной системе.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AC1BF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з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аказчики определяют и обосновывают начальную (максимальную) цену контракта в соответствии со статьей 2</w:t>
      </w:r>
      <w:r w:rsidR="00B62DC8">
        <w:rPr>
          <w:rFonts w:ascii="Times New Roman" w:eastAsia="Calibri" w:hAnsi="Times New Roman" w:cs="Times New Roman"/>
          <w:sz w:val="28"/>
          <w:szCs w:val="28"/>
          <w:lang w:eastAsia="en-US"/>
        </w:rPr>
        <w:t>2 Закона о контрактной системе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2DC8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AC1BF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з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аказчики осуществляют разработку проекта контракта в соответствии с Законом о контрактной системе и типовыми формами </w:t>
      </w:r>
      <w:r w:rsidR="00B62DC8">
        <w:rPr>
          <w:rFonts w:ascii="Times New Roman" w:eastAsia="Calibri" w:hAnsi="Times New Roman" w:cs="Times New Roman"/>
          <w:sz w:val="28"/>
          <w:szCs w:val="28"/>
          <w:lang w:eastAsia="en-US"/>
        </w:rPr>
        <w:t>и инструкциями по их заполнению.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В случае проведения 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конкурса, запроса предложений заказчики в соответствии с Законом о контрактной системе и </w:t>
      </w:r>
      <w:r w:rsidRPr="00B62DC8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устанавливают критерии, используемые при определении поставщика (подрядчика, исполнителя), их величины значимости и порядок оценки заявок.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7326">
        <w:rPr>
          <w:rFonts w:ascii="Times New Roman" w:eastAsia="Calibri" w:hAnsi="Times New Roman" w:cs="Times New Roman"/>
          <w:sz w:val="28"/>
          <w:szCs w:val="28"/>
          <w:lang w:eastAsia="en-US"/>
        </w:rPr>
        <w:t>6. В случае проведения закрытого конкурса, закрытого конкурса с ограниченным участием, закрытого двухэтапного конкурса, закрытого аукциона заказчики осуществляют согласование применения таких способов определения поставщиков (подрядчиков, исполнителей) с федеральным органом исполнительной власти, уполномоченным Правительством Российской Федерации на осуществление данных функций.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="00AC1BF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з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аказчики в соответствии с Законом о контрактной системе </w:t>
      </w:r>
      <w:proofErr w:type="gramStart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устанавливают следующие условия</w:t>
      </w:r>
      <w:proofErr w:type="gram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осуществления процедуры определения поставщика (подрядчика, исполнителя):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1) о проведении совместных конкурсов и (или) аукционов;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о предоставлении преимуществ в соответствии со статьями 28 - </w:t>
      </w:r>
      <w:hyperlink w:anchor="Par446" w:tooltip="Ссылка на текущий документ" w:history="1">
        <w:r w:rsidRPr="002B5BC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30</w:t>
        </w:r>
      </w:hyperlink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о контрактной системе;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3) об установлении требований к участникам закупки;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4) об установлении требований об обеспечении заявок при проведении конкурсов и аукционов;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5) об установлении требований о предоставлении обеспечения исполнения контракта при проведении конкурсов и аукционов;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6) информацию о контра</w:t>
      </w:r>
      <w:r w:rsidR="00D15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ктном управляющем, </w:t>
      </w:r>
      <w:proofErr w:type="gramStart"/>
      <w:r w:rsidR="00D15A4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заключение контракта;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по усмотрению </w:t>
      </w:r>
      <w:r w:rsidR="00AC1B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заказчика иные условия осуществления процедуры определения поставщика (подрядчика, исполнителя), предусмотренные Законом о контрактной системе.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proofErr w:type="gramStart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проведения процедуры определения поставщика (подрядчика, исполнителя) уполномоченным органом </w:t>
      </w:r>
      <w:r w:rsidR="00B62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 w:rsidR="00B62DC8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B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заказчик в соответствии с планом закупок и планом-графиком закупок предоставляет в уполномоченный </w:t>
      </w:r>
      <w:r w:rsidR="00C00DE9"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орган,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согласованный с </w:t>
      </w:r>
      <w:r w:rsidR="00B62DC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администрацией городского поселения </w:t>
      </w:r>
      <w:proofErr w:type="spellStart"/>
      <w:r w:rsidR="00B62DC8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ведении которого находится данный </w:t>
      </w:r>
      <w:r w:rsidR="00AC1B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заказчик, комплект документов, отражающий решения заказчика по вопросам, отнесенным к его компетенции частями 1 - 7 настоящей статьи.</w:t>
      </w:r>
      <w:proofErr w:type="gramEnd"/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Уполномоченный орган </w:t>
      </w:r>
      <w:r w:rsidR="00B62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 w:rsidR="00B62DC8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 проверку представленных </w:t>
      </w:r>
      <w:r w:rsidR="00AC1B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муниципальным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заказчиком документов и в случае выявления в них несоответствий Закону о контрактной системе и (или) иным нормативным правовым актам в сфере закупок дает</w:t>
      </w:r>
      <w:r w:rsidR="00AC1B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муниципальному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заказчику предложения об их корректировке.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обнаружении потребности в закупке однотипной продукции, в том числе у нескольких </w:t>
      </w:r>
      <w:r w:rsidR="00AC1B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заказчиков, уполномоченный орган вправе объединить данные закупки в одну процедуру опреде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ния поставщика (подрядчика, исполнителя).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На основании представленных </w:t>
      </w:r>
      <w:r w:rsidR="00AC1B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муниципальным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заказчиком документов уполномоченный орган в соответствии с Законом о контрактной системе и иными нормативными правовыми актам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закупок осуществляет подготовку и проведение процедуры определения поставщика (подрядчика, исполнителя), в том числе осуществляет следующие действия:</w:t>
      </w:r>
    </w:p>
    <w:p w:rsidR="008048F2" w:rsidRPr="002B5BC4" w:rsidRDefault="0094714D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создает комиссию</w:t>
      </w:r>
      <w:r w:rsidR="008048F2"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осуществлению закупок, в том числе определяет состав комиссий и порядок 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работы, назначает председателя</w:t>
      </w:r>
      <w:r w:rsidR="008048F2"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комиссий. При этом в состав комиссий по осуществлению закупок в обязательном порядке включаются представители заинтересованных </w:t>
      </w:r>
      <w:r w:rsidR="0011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="008048F2"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заказчиков;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2) готовит и утверждает документы, необходимые в соответствии с Законом о контрактной системе для проведения процедуры определения поставщика (подрядчика, исполнителя);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размещает предусмотренную Законом о контрактной системе </w:t>
      </w:r>
      <w:r w:rsidR="00C00DE9"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информацию,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проведении процедуры определения поставщика (подрядчика, исполнителя) в единой информационной системе, направляет приглашения принять участие в закрытом конкурсе, закрытом конкурсе с ограниченным участием, закрытом двухэтапном конкурсе или в закрытом аукционе, осуществляет иные предусмотренные Законом о контрактной системе действия по информированию участников закупки о ходе ее проведения, в том числе осуществляет выдачу документации</w:t>
      </w:r>
      <w:proofErr w:type="gram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осуществлении закупки;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 предложению или по согласованию с </w:t>
      </w:r>
      <w:r w:rsidR="0011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муниципальным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заказчиком вносит изменения в извещение и (или) документацию об осуществлении закупки. При этом изменения по вопросам, указанным в частях 1 - 7 настоящей статьи, вносятся только на основании решения </w:t>
      </w:r>
      <w:r w:rsidR="0011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заказчика;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по запросам участников закупки дает разъяснения положений документации об осуществлении закупки. При этом подготовку разъяснений по вопросам, указанным в частях 1 - 7 настоящей статьи, осуществляет </w:t>
      </w:r>
      <w:r w:rsidR="0011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осуществляет прием и хранение заявок и иных, предусмотренных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Законом о контрактной системе, документов от участников закупки;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7) обеспечивает работу комиссий по осуществлению закупок, в том числе уведомляет членов комиссий о месте, дате и времени заседаний комиссии, а также в предусмотренных Законом о контрактной системе случаях осуществляет аудиозапись заседания комиссии по осуществлению закупок;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8) осуществляет хранение документации об осуществлении закупки, изменений, внесенных в такую документацию, разъяснений положений документации об осуществлении закупки, протоколов, составленных в ходе осуществления закупки, заявок и иных документов, поступивших на участие в закупке, и иных документов об осуществлении закупки и аудиозаписей заседаний комиссий по осуществлению закупок в случаях, если хранение таких документов и аудиозаписей предусмотрено Законом о контрактной системе;</w:t>
      </w:r>
      <w:proofErr w:type="gramEnd"/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9) осуществляет иные действия, предусмотренные Законом о контрактной систе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 и необходимые для </w:t>
      </w:r>
      <w:r w:rsidRPr="00B02E2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</w:t>
      </w:r>
      <w:r w:rsidRPr="004E42FB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поставщиков (подрядчиков, исполнителей) для </w:t>
      </w:r>
      <w:r w:rsidR="00E94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заказчиков, за исключением случаев, если совершение таких действий отнесено настоящим Законом к компетенции заказчика.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F026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. Рассмотрение и (или) оценка заявок на участие в закупке, рассмотрение и (или) оценка окончательных предложений участников закупки осуществляется созданной уполномоченным органом комиссией по осуществлению закупок.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решению комиссии по осуществлению закупок к изучению указанных документов может привлекаться </w:t>
      </w:r>
      <w:r w:rsidR="00E94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заказчик, в интересах которого проводится процедура определения поставщика (подрядчика, исполнителя). В этом случае </w:t>
      </w:r>
      <w:r w:rsidR="00E94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заказчик проводит изучение соответствующих заявок, окончательных предложений и представляет в комиссию по осуществлению закупок отчет о результатах такого изучения по форме и в сроки, установленные уполномоченным органом </w:t>
      </w:r>
      <w:r w:rsidR="00B62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 w:rsidR="00B62DC8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Не допускается привлечение к изучению заявок, окончательных предложений физических лиц, лично заинтересованных в результатах определения поставщиков (подрядчиков, исполнителей), в том числе физических лиц, подавших заявки на участие в таком определении или состоящих в штате организаций, подавших данные заявки, либо физических лиц, на которых способны оказать влияние участники закупки (в том числе физические лица, являющиеся участниками (акционерами) этих организаций, членами их</w:t>
      </w:r>
      <w:proofErr w:type="gram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управления, кредиторами указанных участников закупки), либо физических лиц, состоящих в браке с руководителем участника закупки, либо являющихся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неполнородными</w:t>
      </w:r>
      <w:proofErr w:type="spell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также непосредственно осуществляющих контроль в сфере закупок</w:t>
      </w:r>
      <w:proofErr w:type="gram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должностных лиц контрольного органа в сфере закупок.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обеспечения возможности принятия комиссией по осуществлению закупок правомерного решения заказчик автономного округа, в интересах которого проводится процедура определения поставщика (подрядчика, исполнителя), в порядке и сроки, установленные уполномоченным органом, представляет в комиссию по осуществлению закупок информацию об обеспечениях заявок, внесенных </w:t>
      </w:r>
      <w:r w:rsidR="00667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муниципальному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заказчику по данной процедуре.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</w:t>
      </w:r>
      <w:proofErr w:type="gramStart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Со дня определения комиссией по осуществлению закупок победителя закупки или иного лица, с которым в соответствии с Законом о контрактной системе заключается контракт по результатам закупки, все предусмотренные Законом о контрактной системе полномочия по дальнейшему осуществлению закупки, в том числе действия, направленные на составление и заключение контракта, проверку обеспечения исполнения контракта и иных документов, предоставленных победителем закупки (иным лицом, с</w:t>
      </w:r>
      <w:proofErr w:type="gram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которым заключается контракт) в соответствии с Законом о контрактной системе, осуществляет </w:t>
      </w:r>
      <w:r w:rsidR="00667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заказчик, в интересах которого была проведена процедура определения поставщика (подрядчика, исполнителя), за исключением случая, предусмотренного частью 2 статьи 5 настоящего </w:t>
      </w:r>
      <w:r w:rsidR="00667CDE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198"/>
      <w:bookmarkEnd w:id="1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При проведении процедуры определения поставщика (подрядчика, исполнителя) уполномоченным органом всю полноту ответственности за допущенные нарушения требований законодательства Российской Федерации, нормативных правовых актов </w:t>
      </w:r>
      <w:r w:rsidR="00C00D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 w:rsidR="00C00DE9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 w:rsidR="00C00D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вопросам, указанным в частях 1 – 7, 12 настоящей статьи, несут должностные лица </w:t>
      </w:r>
      <w:r w:rsidR="00667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заказчика, в интересах которого проводится процедура определения поставщика (подрядчика, исполнителя).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Должностные лица уполномоченного органа несут всю полноту ответственности за допущенные нарушения требований законодательства Российской Федерации, нормативных правовых актов </w:t>
      </w:r>
      <w:r w:rsidR="00C00D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 w:rsidR="00C00DE9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вопросам, указанным в части 10 настоящей статьи.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Члены комиссий по осуществлению закупок несут всю полноту ответственности за допущенные нарушения требований законодательства Российской Федерации, нормативных правовых актов </w:t>
      </w:r>
      <w:r w:rsidR="00C00D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</w:t>
      </w:r>
      <w:proofErr w:type="spellStart"/>
      <w:r w:rsidR="00C00DE9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proofErr w:type="spellEnd"/>
      <w:r w:rsidR="00C00D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5BC4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вопросам, указанным в части 11 настоящей статьи.</w:t>
      </w:r>
    </w:p>
    <w:p w:rsidR="008048F2" w:rsidRPr="002B5BC4" w:rsidRDefault="008048F2" w:rsidP="008048F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0F1B" w:rsidRDefault="00D90F1B"/>
    <w:sectPr w:rsidR="00D9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E6C"/>
    <w:multiLevelType w:val="hybridMultilevel"/>
    <w:tmpl w:val="AC6E93A2"/>
    <w:lvl w:ilvl="0" w:tplc="319222A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FC57A84"/>
    <w:multiLevelType w:val="hybridMultilevel"/>
    <w:tmpl w:val="E454037E"/>
    <w:lvl w:ilvl="0" w:tplc="99FE0AE8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51FA2889"/>
    <w:multiLevelType w:val="hybridMultilevel"/>
    <w:tmpl w:val="93D60AAE"/>
    <w:lvl w:ilvl="0" w:tplc="988E2B4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65177F3A"/>
    <w:multiLevelType w:val="hybridMultilevel"/>
    <w:tmpl w:val="964A1ADA"/>
    <w:lvl w:ilvl="0" w:tplc="AB08DCD6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F2"/>
    <w:rsid w:val="000B1B9E"/>
    <w:rsid w:val="000E6375"/>
    <w:rsid w:val="00115805"/>
    <w:rsid w:val="0045229F"/>
    <w:rsid w:val="00485A23"/>
    <w:rsid w:val="00667CDE"/>
    <w:rsid w:val="007D2514"/>
    <w:rsid w:val="008048F2"/>
    <w:rsid w:val="0094714D"/>
    <w:rsid w:val="00A2444F"/>
    <w:rsid w:val="00A737F1"/>
    <w:rsid w:val="00AA7A61"/>
    <w:rsid w:val="00AC1BF6"/>
    <w:rsid w:val="00B62DC8"/>
    <w:rsid w:val="00BF0267"/>
    <w:rsid w:val="00C00DE9"/>
    <w:rsid w:val="00D15A44"/>
    <w:rsid w:val="00D90F1B"/>
    <w:rsid w:val="00DD0368"/>
    <w:rsid w:val="00E94734"/>
    <w:rsid w:val="00E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F2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7CD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48F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67CD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667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F2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7CD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48F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67CD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667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DBE7AB1F590D53783D2A5CD17CD5DE79F4FA390B7F343D2BB97F53CB9110568DA3596705224459JC4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DBE7AB1F590D53783D2A5CD17CD5DE79F4FA390B7F343D2BB97F53CB9110568DA3596705224459JC4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Юля</cp:lastModifiedBy>
  <cp:revision>10</cp:revision>
  <cp:lastPrinted>2014-01-27T11:10:00Z</cp:lastPrinted>
  <dcterms:created xsi:type="dcterms:W3CDTF">2013-12-16T08:31:00Z</dcterms:created>
  <dcterms:modified xsi:type="dcterms:W3CDTF">2014-01-30T05:00:00Z</dcterms:modified>
</cp:coreProperties>
</file>